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C0" w:rsidRPr="0065114B" w:rsidRDefault="00991314" w:rsidP="00F176F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5114B">
        <w:rPr>
          <w:rFonts w:ascii="Times New Roman" w:hAnsi="Times New Roman" w:cs="Times New Roman"/>
          <w:b/>
          <w:sz w:val="28"/>
        </w:rPr>
        <w:t xml:space="preserve">Отчет по мониторингу реализации Стратегического плана. </w:t>
      </w:r>
    </w:p>
    <w:p w:rsidR="0043722A" w:rsidRDefault="00CB41EC" w:rsidP="0043722A">
      <w:pPr>
        <w:jc w:val="both"/>
        <w:rPr>
          <w:rFonts w:ascii="Times New Roman" w:hAnsi="Times New Roman" w:cs="Times New Roman"/>
          <w:sz w:val="28"/>
        </w:rPr>
      </w:pPr>
      <w:r w:rsidRPr="0065114B">
        <w:rPr>
          <w:rFonts w:ascii="Times New Roman" w:hAnsi="Times New Roman" w:cs="Times New Roman"/>
          <w:b/>
          <w:sz w:val="28"/>
        </w:rPr>
        <w:t>Отчетный период</w:t>
      </w:r>
      <w:r w:rsidRPr="0065114B">
        <w:rPr>
          <w:rFonts w:ascii="Times New Roman" w:hAnsi="Times New Roman" w:cs="Times New Roman"/>
          <w:sz w:val="28"/>
        </w:rPr>
        <w:t>:</w:t>
      </w:r>
      <w:r w:rsidR="004958C0" w:rsidRPr="0065114B">
        <w:rPr>
          <w:rFonts w:ascii="Times New Roman" w:hAnsi="Times New Roman" w:cs="Times New Roman"/>
          <w:sz w:val="28"/>
        </w:rPr>
        <w:t xml:space="preserve"> </w:t>
      </w:r>
      <w:r w:rsidR="00B17767" w:rsidRPr="00B17767">
        <w:rPr>
          <w:rFonts w:ascii="Times New Roman" w:hAnsi="Times New Roman" w:cs="Times New Roman"/>
          <w:sz w:val="28"/>
        </w:rPr>
        <w:t xml:space="preserve">2014 </w:t>
      </w:r>
      <w:r w:rsidR="00B17767">
        <w:rPr>
          <w:rFonts w:ascii="Times New Roman" w:hAnsi="Times New Roman" w:cs="Times New Roman"/>
          <w:sz w:val="28"/>
        </w:rPr>
        <w:t>г.</w:t>
      </w:r>
      <w:r w:rsidR="0043722A" w:rsidRPr="0043722A">
        <w:rPr>
          <w:rFonts w:ascii="Times New Roman" w:hAnsi="Times New Roman" w:cs="Times New Roman"/>
          <w:sz w:val="28"/>
        </w:rPr>
        <w:t xml:space="preserve"> </w:t>
      </w:r>
    </w:p>
    <w:p w:rsidR="0043722A" w:rsidRPr="0065114B" w:rsidRDefault="0043722A" w:rsidP="0043722A">
      <w:pPr>
        <w:jc w:val="both"/>
        <w:rPr>
          <w:rFonts w:ascii="Times New Roman" w:hAnsi="Times New Roman" w:cs="Times New Roman"/>
          <w:sz w:val="28"/>
        </w:rPr>
      </w:pPr>
      <w:r w:rsidRPr="0065114B">
        <w:rPr>
          <w:rFonts w:ascii="Times New Roman" w:hAnsi="Times New Roman" w:cs="Times New Roman"/>
          <w:sz w:val="28"/>
        </w:rPr>
        <w:t xml:space="preserve">Данный отчет включает в себя </w:t>
      </w:r>
      <w:r w:rsidR="00C00689">
        <w:rPr>
          <w:rFonts w:ascii="Times New Roman" w:hAnsi="Times New Roman" w:cs="Times New Roman"/>
          <w:sz w:val="28"/>
        </w:rPr>
        <w:t>показатели</w:t>
      </w:r>
      <w:r w:rsidR="001803B4">
        <w:rPr>
          <w:rFonts w:ascii="Times New Roman" w:hAnsi="Times New Roman" w:cs="Times New Roman"/>
          <w:sz w:val="28"/>
        </w:rPr>
        <w:t xml:space="preserve"> деятельности</w:t>
      </w:r>
      <w:r w:rsidR="00C00689">
        <w:rPr>
          <w:rFonts w:ascii="Times New Roman" w:hAnsi="Times New Roman" w:cs="Times New Roman"/>
          <w:sz w:val="28"/>
        </w:rPr>
        <w:t xml:space="preserve"> и результативности</w:t>
      </w:r>
      <w:r w:rsidR="00C11B73">
        <w:rPr>
          <w:rFonts w:ascii="Times New Roman" w:hAnsi="Times New Roman" w:cs="Times New Roman"/>
          <w:sz w:val="28"/>
        </w:rPr>
        <w:t xml:space="preserve"> Фонда</w:t>
      </w:r>
      <w:r w:rsidR="00B17767">
        <w:rPr>
          <w:rFonts w:ascii="Times New Roman" w:hAnsi="Times New Roman" w:cs="Times New Roman"/>
          <w:sz w:val="28"/>
        </w:rPr>
        <w:t xml:space="preserve">. </w:t>
      </w:r>
      <w:r w:rsidRPr="0065114B">
        <w:rPr>
          <w:rFonts w:ascii="Times New Roman" w:hAnsi="Times New Roman" w:cs="Times New Roman"/>
          <w:sz w:val="28"/>
        </w:rPr>
        <w:t xml:space="preserve"> </w:t>
      </w:r>
    </w:p>
    <w:p w:rsidR="00425707" w:rsidRPr="0043722A" w:rsidRDefault="0043722A" w:rsidP="00CB41EC">
      <w:pPr>
        <w:rPr>
          <w:rFonts w:ascii="Times New Roman" w:hAnsi="Times New Roman" w:cs="Times New Roman"/>
          <w:b/>
          <w:sz w:val="28"/>
        </w:rPr>
      </w:pPr>
      <w:r w:rsidRPr="0043722A">
        <w:rPr>
          <w:rFonts w:ascii="Times New Roman" w:hAnsi="Times New Roman" w:cs="Times New Roman"/>
          <w:b/>
          <w:sz w:val="28"/>
        </w:rPr>
        <w:t>Введение</w:t>
      </w:r>
    </w:p>
    <w:p w:rsidR="006C1FA8" w:rsidRPr="0065114B" w:rsidRDefault="001E27DE" w:rsidP="00DF4B7A">
      <w:pPr>
        <w:jc w:val="both"/>
        <w:rPr>
          <w:rFonts w:ascii="Times New Roman" w:hAnsi="Times New Roman" w:cs="Times New Roman"/>
          <w:sz w:val="28"/>
        </w:rPr>
      </w:pPr>
      <w:r w:rsidRPr="0065114B">
        <w:rPr>
          <w:rFonts w:ascii="Times New Roman" w:hAnsi="Times New Roman" w:cs="Times New Roman"/>
          <w:sz w:val="28"/>
        </w:rPr>
        <w:t xml:space="preserve">Стратегический план развития ОФ «СПИД Фонд Восток-Запад в </w:t>
      </w:r>
      <w:proofErr w:type="gramStart"/>
      <w:r w:rsidRPr="0065114B">
        <w:rPr>
          <w:rFonts w:ascii="Times New Roman" w:hAnsi="Times New Roman" w:cs="Times New Roman"/>
          <w:sz w:val="28"/>
        </w:rPr>
        <w:t>КР</w:t>
      </w:r>
      <w:proofErr w:type="gramEnd"/>
      <w:r w:rsidRPr="0065114B">
        <w:rPr>
          <w:rFonts w:ascii="Times New Roman" w:hAnsi="Times New Roman" w:cs="Times New Roman"/>
          <w:sz w:val="28"/>
        </w:rPr>
        <w:t>» на 2014-2018гг был раз</w:t>
      </w:r>
      <w:r w:rsidR="0065114B">
        <w:rPr>
          <w:rFonts w:ascii="Times New Roman" w:hAnsi="Times New Roman" w:cs="Times New Roman"/>
          <w:sz w:val="28"/>
        </w:rPr>
        <w:t xml:space="preserve">работан и принят в феврале 2014 </w:t>
      </w:r>
      <w:r w:rsidRPr="0065114B">
        <w:rPr>
          <w:rFonts w:ascii="Times New Roman" w:hAnsi="Times New Roman" w:cs="Times New Roman"/>
          <w:sz w:val="28"/>
        </w:rPr>
        <w:t xml:space="preserve"> Правлением Фонда.  Цель Плана заключается в стабильном и устойчивом росте конкурентоспособности Фонда в Кыргызской Республике</w:t>
      </w:r>
      <w:r w:rsidR="00B46B20" w:rsidRPr="0065114B">
        <w:rPr>
          <w:rFonts w:ascii="Times New Roman" w:hAnsi="Times New Roman" w:cs="Times New Roman"/>
          <w:sz w:val="28"/>
        </w:rPr>
        <w:t xml:space="preserve"> путем предоставления качественных услуг ключевому населению</w:t>
      </w:r>
      <w:r w:rsidRPr="0065114B">
        <w:rPr>
          <w:rFonts w:ascii="Times New Roman" w:hAnsi="Times New Roman" w:cs="Times New Roman"/>
          <w:sz w:val="28"/>
        </w:rPr>
        <w:t xml:space="preserve">. </w:t>
      </w:r>
      <w:r w:rsidR="00F83121" w:rsidRPr="0065114B">
        <w:rPr>
          <w:rFonts w:ascii="Times New Roman" w:hAnsi="Times New Roman" w:cs="Times New Roman"/>
          <w:sz w:val="28"/>
        </w:rPr>
        <w:t xml:space="preserve">В Стратегическом плане представлены 10 программных целей, </w:t>
      </w:r>
      <w:r w:rsidR="00AA590C" w:rsidRPr="0065114B">
        <w:rPr>
          <w:rFonts w:ascii="Times New Roman" w:hAnsi="Times New Roman" w:cs="Times New Roman"/>
          <w:sz w:val="28"/>
        </w:rPr>
        <w:t xml:space="preserve">более </w:t>
      </w:r>
      <w:r w:rsidR="00F83121" w:rsidRPr="0065114B">
        <w:rPr>
          <w:rFonts w:ascii="Times New Roman" w:hAnsi="Times New Roman" w:cs="Times New Roman"/>
          <w:sz w:val="28"/>
        </w:rPr>
        <w:t>6</w:t>
      </w:r>
      <w:r w:rsidR="00AA590C" w:rsidRPr="0065114B">
        <w:rPr>
          <w:rFonts w:ascii="Times New Roman" w:hAnsi="Times New Roman" w:cs="Times New Roman"/>
          <w:sz w:val="28"/>
        </w:rPr>
        <w:t>0</w:t>
      </w:r>
      <w:r w:rsidR="007B1BB7" w:rsidRPr="0065114B">
        <w:rPr>
          <w:rFonts w:ascii="Times New Roman" w:hAnsi="Times New Roman" w:cs="Times New Roman"/>
          <w:sz w:val="28"/>
        </w:rPr>
        <w:t xml:space="preserve"> задач для достижения стратегической цели</w:t>
      </w:r>
      <w:r w:rsidR="006C1FA8" w:rsidRPr="0065114B">
        <w:rPr>
          <w:rFonts w:ascii="Times New Roman" w:hAnsi="Times New Roman" w:cs="Times New Roman"/>
          <w:sz w:val="28"/>
        </w:rPr>
        <w:t xml:space="preserve">, разработан </w:t>
      </w:r>
      <w:r w:rsidR="00FF6485">
        <w:rPr>
          <w:rFonts w:ascii="Times New Roman" w:hAnsi="Times New Roman" w:cs="Times New Roman"/>
          <w:sz w:val="28"/>
        </w:rPr>
        <w:t xml:space="preserve">детальный </w:t>
      </w:r>
      <w:r w:rsidR="006C1FA8" w:rsidRPr="0065114B">
        <w:rPr>
          <w:rFonts w:ascii="Times New Roman" w:hAnsi="Times New Roman" w:cs="Times New Roman"/>
          <w:sz w:val="28"/>
        </w:rPr>
        <w:t>план мероприятий и создана система мониторинга</w:t>
      </w:r>
      <w:r w:rsidR="00AA590C" w:rsidRPr="0065114B">
        <w:rPr>
          <w:rFonts w:ascii="Times New Roman" w:hAnsi="Times New Roman" w:cs="Times New Roman"/>
          <w:sz w:val="28"/>
        </w:rPr>
        <w:t xml:space="preserve"> с </w:t>
      </w:r>
      <w:r w:rsidR="0065114B">
        <w:rPr>
          <w:rFonts w:ascii="Times New Roman" w:hAnsi="Times New Roman" w:cs="Times New Roman"/>
          <w:sz w:val="28"/>
        </w:rPr>
        <w:t xml:space="preserve">утвержденными </w:t>
      </w:r>
      <w:r w:rsidR="00AA590C" w:rsidRPr="0065114B">
        <w:rPr>
          <w:rFonts w:ascii="Times New Roman" w:hAnsi="Times New Roman" w:cs="Times New Roman"/>
          <w:sz w:val="28"/>
        </w:rPr>
        <w:t>62 индикаторами</w:t>
      </w:r>
      <w:r w:rsidR="007B1BB7" w:rsidRPr="0065114B">
        <w:rPr>
          <w:rFonts w:ascii="Times New Roman" w:hAnsi="Times New Roman" w:cs="Times New Roman"/>
          <w:sz w:val="28"/>
        </w:rPr>
        <w:t xml:space="preserve">. </w:t>
      </w:r>
      <w:r w:rsidR="00536135" w:rsidRPr="0065114B">
        <w:rPr>
          <w:rFonts w:ascii="Times New Roman" w:hAnsi="Times New Roman" w:cs="Times New Roman"/>
          <w:sz w:val="28"/>
        </w:rPr>
        <w:t xml:space="preserve">Стратегический план  </w:t>
      </w:r>
      <w:r w:rsidR="005D6743" w:rsidRPr="0065114B">
        <w:rPr>
          <w:rFonts w:ascii="Times New Roman" w:hAnsi="Times New Roman" w:cs="Times New Roman"/>
          <w:sz w:val="28"/>
        </w:rPr>
        <w:t xml:space="preserve">разработан по трем основным направлениям </w:t>
      </w:r>
      <w:r w:rsidR="00536135" w:rsidRPr="0065114B">
        <w:rPr>
          <w:rFonts w:ascii="Times New Roman" w:hAnsi="Times New Roman" w:cs="Times New Roman"/>
          <w:sz w:val="28"/>
        </w:rPr>
        <w:t xml:space="preserve"> деятельност</w:t>
      </w:r>
      <w:r w:rsidR="005D6743" w:rsidRPr="0065114B">
        <w:rPr>
          <w:rFonts w:ascii="Times New Roman" w:hAnsi="Times New Roman" w:cs="Times New Roman"/>
          <w:sz w:val="28"/>
        </w:rPr>
        <w:t>и:</w:t>
      </w:r>
      <w:r w:rsidR="00536135" w:rsidRPr="0065114B">
        <w:rPr>
          <w:rFonts w:ascii="Times New Roman" w:hAnsi="Times New Roman" w:cs="Times New Roman"/>
          <w:sz w:val="28"/>
        </w:rPr>
        <w:t xml:space="preserve"> программн</w:t>
      </w:r>
      <w:r w:rsidR="001803B4">
        <w:rPr>
          <w:rFonts w:ascii="Times New Roman" w:hAnsi="Times New Roman" w:cs="Times New Roman"/>
          <w:sz w:val="28"/>
        </w:rPr>
        <w:t>ая</w:t>
      </w:r>
      <w:r w:rsidR="00536135" w:rsidRPr="0065114B">
        <w:rPr>
          <w:rFonts w:ascii="Times New Roman" w:hAnsi="Times New Roman" w:cs="Times New Roman"/>
          <w:sz w:val="28"/>
        </w:rPr>
        <w:t xml:space="preserve"> част</w:t>
      </w:r>
      <w:r w:rsidR="001803B4">
        <w:rPr>
          <w:rFonts w:ascii="Times New Roman" w:hAnsi="Times New Roman" w:cs="Times New Roman"/>
          <w:sz w:val="28"/>
        </w:rPr>
        <w:t>ь</w:t>
      </w:r>
      <w:r w:rsidR="00536135" w:rsidRPr="0065114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D6743" w:rsidRPr="0065114B">
        <w:rPr>
          <w:rFonts w:ascii="Times New Roman" w:hAnsi="Times New Roman" w:cs="Times New Roman"/>
          <w:sz w:val="28"/>
        </w:rPr>
        <w:t>адвокаци</w:t>
      </w:r>
      <w:r w:rsidR="001803B4">
        <w:rPr>
          <w:rFonts w:ascii="Times New Roman" w:hAnsi="Times New Roman" w:cs="Times New Roman"/>
          <w:sz w:val="28"/>
        </w:rPr>
        <w:t>я</w:t>
      </w:r>
      <w:proofErr w:type="spellEnd"/>
      <w:r w:rsidR="00536135" w:rsidRPr="0065114B">
        <w:rPr>
          <w:rFonts w:ascii="Times New Roman" w:hAnsi="Times New Roman" w:cs="Times New Roman"/>
          <w:sz w:val="28"/>
        </w:rPr>
        <w:t xml:space="preserve"> и </w:t>
      </w:r>
      <w:r w:rsidR="001803B4">
        <w:rPr>
          <w:rFonts w:ascii="Times New Roman" w:hAnsi="Times New Roman" w:cs="Times New Roman"/>
          <w:sz w:val="28"/>
        </w:rPr>
        <w:t>менеджмент</w:t>
      </w:r>
      <w:r w:rsidR="00536135" w:rsidRPr="0065114B">
        <w:rPr>
          <w:rFonts w:ascii="Times New Roman" w:hAnsi="Times New Roman" w:cs="Times New Roman"/>
          <w:sz w:val="28"/>
        </w:rPr>
        <w:t xml:space="preserve">. </w:t>
      </w:r>
    </w:p>
    <w:p w:rsidR="00962980" w:rsidRPr="0065114B" w:rsidRDefault="006C1FA8" w:rsidP="00DF4B7A">
      <w:pPr>
        <w:jc w:val="both"/>
        <w:rPr>
          <w:rFonts w:ascii="Times New Roman" w:hAnsi="Times New Roman" w:cs="Times New Roman"/>
          <w:sz w:val="28"/>
        </w:rPr>
      </w:pPr>
      <w:r w:rsidRPr="0065114B">
        <w:rPr>
          <w:rFonts w:ascii="Times New Roman" w:hAnsi="Times New Roman" w:cs="Times New Roman"/>
          <w:b/>
          <w:sz w:val="28"/>
        </w:rPr>
        <w:t>Результаты</w:t>
      </w:r>
      <w:r w:rsidRPr="0065114B">
        <w:rPr>
          <w:rFonts w:ascii="Times New Roman" w:hAnsi="Times New Roman" w:cs="Times New Roman"/>
          <w:sz w:val="28"/>
        </w:rPr>
        <w:t xml:space="preserve"> за отчетный период</w:t>
      </w:r>
      <w:r w:rsidR="00962980" w:rsidRPr="0065114B">
        <w:rPr>
          <w:rFonts w:ascii="Times New Roman" w:hAnsi="Times New Roman" w:cs="Times New Roman"/>
          <w:sz w:val="28"/>
        </w:rPr>
        <w:t xml:space="preserve"> </w:t>
      </w:r>
    </w:p>
    <w:p w:rsidR="003B266E" w:rsidRDefault="000845AA" w:rsidP="00A67066">
      <w:pPr>
        <w:spacing w:after="0"/>
        <w:jc w:val="both"/>
        <w:rPr>
          <w:rFonts w:ascii="Times New Roman" w:hAnsi="Times New Roman" w:cs="Times New Roman"/>
          <w:sz w:val="28"/>
        </w:rPr>
      </w:pPr>
      <w:r w:rsidRPr="0065114B">
        <w:rPr>
          <w:rFonts w:ascii="Times New Roman" w:hAnsi="Times New Roman" w:cs="Times New Roman"/>
          <w:sz w:val="28"/>
        </w:rPr>
        <w:t>Реализация программной части Стратегического Плана осуществляется проектами</w:t>
      </w:r>
      <w:r w:rsidR="00787725">
        <w:rPr>
          <w:rFonts w:ascii="Times New Roman" w:hAnsi="Times New Roman" w:cs="Times New Roman"/>
          <w:sz w:val="28"/>
        </w:rPr>
        <w:t>:</w:t>
      </w:r>
      <w:r w:rsidRPr="0065114B">
        <w:rPr>
          <w:rFonts w:ascii="Times New Roman" w:hAnsi="Times New Roman" w:cs="Times New Roman"/>
          <w:sz w:val="28"/>
        </w:rPr>
        <w:t xml:space="preserve"> </w:t>
      </w:r>
    </w:p>
    <w:p w:rsidR="003B266E" w:rsidRPr="003B266E" w:rsidRDefault="000845AA" w:rsidP="003B26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B266E">
        <w:rPr>
          <w:rFonts w:ascii="Times New Roman" w:hAnsi="Times New Roman" w:cs="Times New Roman"/>
          <w:sz w:val="28"/>
        </w:rPr>
        <w:t>«Восполняя пробелы: здоровье и права уязвимых слоев населения», финансируем</w:t>
      </w:r>
      <w:r w:rsidR="008F0D5F">
        <w:rPr>
          <w:rFonts w:ascii="Times New Roman" w:hAnsi="Times New Roman" w:cs="Times New Roman"/>
          <w:sz w:val="28"/>
        </w:rPr>
        <w:t>ым</w:t>
      </w:r>
      <w:r w:rsidRPr="003B266E">
        <w:rPr>
          <w:rFonts w:ascii="Times New Roman" w:hAnsi="Times New Roman" w:cs="Times New Roman"/>
          <w:sz w:val="28"/>
        </w:rPr>
        <w:t xml:space="preserve"> Министерством иностранных дел Нидерландов,  </w:t>
      </w:r>
    </w:p>
    <w:p w:rsidR="003B266E" w:rsidRPr="003B266E" w:rsidRDefault="000845AA" w:rsidP="003B26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B266E">
        <w:rPr>
          <w:rFonts w:ascii="Times New Roman" w:hAnsi="Times New Roman" w:cs="Times New Roman"/>
          <w:sz w:val="28"/>
        </w:rPr>
        <w:t>проектом по противодействию ВИЧ, финансир</w:t>
      </w:r>
      <w:r w:rsidR="006C2C38">
        <w:rPr>
          <w:rFonts w:ascii="Times New Roman" w:hAnsi="Times New Roman" w:cs="Times New Roman"/>
          <w:sz w:val="28"/>
        </w:rPr>
        <w:t xml:space="preserve">уемым </w:t>
      </w:r>
      <w:r w:rsidRPr="003B266E">
        <w:rPr>
          <w:rFonts w:ascii="Times New Roman" w:hAnsi="Times New Roman" w:cs="Times New Roman"/>
          <w:sz w:val="28"/>
        </w:rPr>
        <w:t xml:space="preserve">ЮСАИД,  </w:t>
      </w:r>
    </w:p>
    <w:p w:rsidR="003B266E" w:rsidRDefault="000845AA" w:rsidP="003B26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3B266E">
        <w:rPr>
          <w:rFonts w:ascii="Times New Roman" w:hAnsi="Times New Roman" w:cs="Times New Roman"/>
          <w:sz w:val="28"/>
        </w:rPr>
        <w:t xml:space="preserve">проектом по сотрудничеству </w:t>
      </w:r>
      <w:r w:rsidR="00E92CBF">
        <w:rPr>
          <w:rFonts w:ascii="Times New Roman" w:hAnsi="Times New Roman" w:cs="Times New Roman"/>
          <w:sz w:val="28"/>
        </w:rPr>
        <w:t xml:space="preserve">и содействию </w:t>
      </w:r>
      <w:r w:rsidRPr="003B266E">
        <w:rPr>
          <w:rFonts w:ascii="Times New Roman" w:hAnsi="Times New Roman" w:cs="Times New Roman"/>
          <w:sz w:val="28"/>
        </w:rPr>
        <w:t xml:space="preserve"> МВД</w:t>
      </w:r>
      <w:r w:rsidR="00E92CBF">
        <w:rPr>
          <w:rFonts w:ascii="Times New Roman" w:hAnsi="Times New Roman" w:cs="Times New Roman"/>
          <w:sz w:val="28"/>
        </w:rPr>
        <w:t xml:space="preserve"> по реализации инструкции</w:t>
      </w:r>
      <w:r w:rsidRPr="003B266E">
        <w:rPr>
          <w:rFonts w:ascii="Times New Roman" w:hAnsi="Times New Roman" w:cs="Times New Roman"/>
          <w:sz w:val="28"/>
        </w:rPr>
        <w:t>, финансируем</w:t>
      </w:r>
      <w:r w:rsidR="006C2C38">
        <w:rPr>
          <w:rFonts w:ascii="Times New Roman" w:hAnsi="Times New Roman" w:cs="Times New Roman"/>
          <w:sz w:val="28"/>
        </w:rPr>
        <w:t>ым</w:t>
      </w:r>
      <w:r w:rsidRPr="003B266E">
        <w:rPr>
          <w:rFonts w:ascii="Times New Roman" w:hAnsi="Times New Roman" w:cs="Times New Roman"/>
          <w:sz w:val="28"/>
        </w:rPr>
        <w:t xml:space="preserve"> Фондом Сорос Кыргызстан, </w:t>
      </w:r>
    </w:p>
    <w:p w:rsidR="003B266E" w:rsidRPr="003B266E" w:rsidRDefault="003B266E" w:rsidP="003B266E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проектом по дистрибуции мотивационных пакетов пациен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там </w:t>
      </w:r>
      <w:r w:rsidR="001803B4">
        <w:rPr>
          <w:rFonts w:ascii="Times New Roman" w:hAnsi="Times New Roman" w:cs="Times New Roman"/>
          <w:sz w:val="28"/>
        </w:rPr>
        <w:t xml:space="preserve">ТБ </w:t>
      </w:r>
      <w:r>
        <w:rPr>
          <w:rFonts w:ascii="Times New Roman" w:hAnsi="Times New Roman" w:cs="Times New Roman"/>
          <w:sz w:val="28"/>
          <w:lang w:val="en-US"/>
        </w:rPr>
        <w:t>DOTS</w:t>
      </w:r>
      <w:r>
        <w:rPr>
          <w:rFonts w:ascii="Times New Roman" w:hAnsi="Times New Roman" w:cs="Times New Roman"/>
          <w:sz w:val="28"/>
        </w:rPr>
        <w:t xml:space="preserve"> программы</w:t>
      </w:r>
      <w:r w:rsidR="00787725">
        <w:rPr>
          <w:rFonts w:ascii="Times New Roman" w:hAnsi="Times New Roman" w:cs="Times New Roman"/>
          <w:sz w:val="28"/>
        </w:rPr>
        <w:t>, финансируем</w:t>
      </w:r>
      <w:r w:rsidR="008F0D5F">
        <w:rPr>
          <w:rFonts w:ascii="Times New Roman" w:hAnsi="Times New Roman" w:cs="Times New Roman"/>
          <w:sz w:val="28"/>
        </w:rPr>
        <w:t>ым</w:t>
      </w:r>
      <w:r w:rsidR="00787725">
        <w:rPr>
          <w:rFonts w:ascii="Times New Roman" w:hAnsi="Times New Roman" w:cs="Times New Roman"/>
          <w:sz w:val="28"/>
        </w:rPr>
        <w:t xml:space="preserve"> </w:t>
      </w:r>
      <w:r w:rsidR="00861EFD">
        <w:rPr>
          <w:rFonts w:ascii="Times New Roman" w:hAnsi="Times New Roman" w:cs="Times New Roman"/>
          <w:sz w:val="28"/>
        </w:rPr>
        <w:t xml:space="preserve">Глобальным Фондом/проект </w:t>
      </w:r>
      <w:r w:rsidR="00787725">
        <w:rPr>
          <w:rFonts w:ascii="Times New Roman" w:hAnsi="Times New Roman" w:cs="Times New Roman"/>
          <w:sz w:val="28"/>
          <w:lang w:val="en-US"/>
        </w:rPr>
        <w:t>HOPE</w:t>
      </w:r>
      <w:r w:rsidR="00861EFD">
        <w:rPr>
          <w:rFonts w:ascii="Times New Roman" w:hAnsi="Times New Roman" w:cs="Times New Roman"/>
          <w:sz w:val="28"/>
        </w:rPr>
        <w:t xml:space="preserve"> «Люди людям»</w:t>
      </w:r>
      <w:r w:rsidR="00787725">
        <w:rPr>
          <w:rFonts w:ascii="Times New Roman" w:hAnsi="Times New Roman" w:cs="Times New Roman"/>
          <w:sz w:val="28"/>
        </w:rPr>
        <w:t xml:space="preserve"> Кыргызстан </w:t>
      </w:r>
      <w:r>
        <w:rPr>
          <w:rFonts w:ascii="Times New Roman" w:hAnsi="Times New Roman" w:cs="Times New Roman"/>
          <w:sz w:val="28"/>
        </w:rPr>
        <w:t xml:space="preserve"> </w:t>
      </w:r>
    </w:p>
    <w:p w:rsidR="0099317F" w:rsidRPr="003B266E" w:rsidRDefault="0037521D" w:rsidP="00787725">
      <w:pPr>
        <w:pStyle w:val="a3"/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A0AD9" w:rsidRPr="003B266E">
        <w:rPr>
          <w:rFonts w:ascii="Times New Roman" w:hAnsi="Times New Roman" w:cs="Times New Roman"/>
          <w:sz w:val="28"/>
        </w:rPr>
        <w:t xml:space="preserve"> </w:t>
      </w:r>
    </w:p>
    <w:p w:rsidR="0099317F" w:rsidRDefault="0099317F" w:rsidP="00A6706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B266E" w:rsidRDefault="003B266E" w:rsidP="00A6706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B266E" w:rsidRDefault="003B266E" w:rsidP="00A6706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B266E" w:rsidRDefault="003B266E" w:rsidP="00A6706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B266E" w:rsidRDefault="003B266E" w:rsidP="00A6706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82B36" w:rsidRPr="00E92CBF" w:rsidRDefault="00E92CBF" w:rsidP="00DF4B7A">
      <w:pPr>
        <w:jc w:val="both"/>
        <w:rPr>
          <w:rFonts w:ascii="Times New Roman" w:hAnsi="Times New Roman" w:cs="Times New Roman"/>
          <w:sz w:val="24"/>
        </w:rPr>
      </w:pPr>
      <w:r w:rsidRPr="00E92CBF">
        <w:rPr>
          <w:rFonts w:ascii="Times New Roman" w:hAnsi="Times New Roman" w:cs="Times New Roman"/>
          <w:b/>
          <w:sz w:val="28"/>
        </w:rPr>
        <w:t>Индикаторная таблица</w:t>
      </w:r>
      <w:r w:rsidR="00746CBC" w:rsidRPr="00E92CBF">
        <w:rPr>
          <w:rFonts w:ascii="Times New Roman" w:hAnsi="Times New Roman" w:cs="Times New Roman"/>
          <w:sz w:val="28"/>
        </w:rPr>
        <w:t>:</w:t>
      </w:r>
      <w:r w:rsidR="00682B36" w:rsidRPr="00E92CBF">
        <w:rPr>
          <w:rFonts w:ascii="Times New Roman" w:hAnsi="Times New Roman" w:cs="Times New Roman"/>
          <w:sz w:val="24"/>
        </w:rPr>
        <w:fldChar w:fldCharType="begin"/>
      </w:r>
      <w:r w:rsidR="00682B36" w:rsidRPr="00E92CBF">
        <w:rPr>
          <w:rFonts w:ascii="Times New Roman" w:hAnsi="Times New Roman" w:cs="Times New Roman"/>
          <w:sz w:val="24"/>
        </w:rPr>
        <w:instrText xml:space="preserve"> LINK </w:instrText>
      </w:r>
      <w:r w:rsidR="002A477D">
        <w:rPr>
          <w:rFonts w:ascii="Times New Roman" w:hAnsi="Times New Roman" w:cs="Times New Roman"/>
          <w:sz w:val="24"/>
        </w:rPr>
        <w:instrText xml:space="preserve">Excel.Sheet.12 "C:\\Users\\User\\Desktop\\МиО AFEW\\PMP AFEW  - 2014.xlsx" Цели!R4C2:R24C8 </w:instrText>
      </w:r>
      <w:r w:rsidR="00682B36" w:rsidRPr="00E92CBF">
        <w:rPr>
          <w:rFonts w:ascii="Times New Roman" w:hAnsi="Times New Roman" w:cs="Times New Roman"/>
          <w:sz w:val="24"/>
        </w:rPr>
        <w:instrText xml:space="preserve">\a \f 5 \h  \* MERGEFORMAT </w:instrText>
      </w:r>
      <w:r w:rsidR="00682B36" w:rsidRPr="00E92CBF">
        <w:rPr>
          <w:rFonts w:ascii="Times New Roman" w:hAnsi="Times New Roman" w:cs="Times New Roman"/>
          <w:sz w:val="24"/>
        </w:rPr>
        <w:fldChar w:fldCharType="separate"/>
      </w:r>
    </w:p>
    <w:tbl>
      <w:tblPr>
        <w:tblStyle w:val="a6"/>
        <w:tblW w:w="15559" w:type="dxa"/>
        <w:tblLook w:val="04A0" w:firstRow="1" w:lastRow="0" w:firstColumn="1" w:lastColumn="0" w:noHBand="0" w:noVBand="1"/>
      </w:tblPr>
      <w:tblGrid>
        <w:gridCol w:w="534"/>
        <w:gridCol w:w="2868"/>
        <w:gridCol w:w="3510"/>
        <w:gridCol w:w="3231"/>
        <w:gridCol w:w="3432"/>
        <w:gridCol w:w="992"/>
        <w:gridCol w:w="1192"/>
      </w:tblGrid>
      <w:tr w:rsidR="00682B36" w:rsidRPr="00E92CBF" w:rsidTr="007661E1">
        <w:trPr>
          <w:trHeight w:val="510"/>
        </w:trPr>
        <w:tc>
          <w:tcPr>
            <w:tcW w:w="534" w:type="dxa"/>
            <w:vMerge w:val="restart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8" w:type="dxa"/>
            <w:vMerge w:val="restart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Описание цели</w:t>
            </w:r>
          </w:p>
        </w:tc>
        <w:tc>
          <w:tcPr>
            <w:tcW w:w="3510" w:type="dxa"/>
            <w:vMerge w:val="restart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3231" w:type="dxa"/>
            <w:vMerge w:val="restart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 xml:space="preserve">Ожидаемый Результат </w:t>
            </w:r>
          </w:p>
        </w:tc>
        <w:tc>
          <w:tcPr>
            <w:tcW w:w="3432" w:type="dxa"/>
            <w:vMerge w:val="restart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Индикаторы задач</w:t>
            </w:r>
          </w:p>
        </w:tc>
        <w:tc>
          <w:tcPr>
            <w:tcW w:w="1984" w:type="dxa"/>
            <w:gridSpan w:val="2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2014</w:t>
            </w:r>
          </w:p>
        </w:tc>
      </w:tr>
      <w:tr w:rsidR="00682B36" w:rsidRPr="00E92CBF" w:rsidTr="007661E1">
        <w:trPr>
          <w:trHeight w:val="315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0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31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2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</w:tr>
      <w:tr w:rsidR="00682B36" w:rsidRPr="00E92CBF" w:rsidTr="007661E1">
        <w:trPr>
          <w:trHeight w:val="1515"/>
        </w:trPr>
        <w:tc>
          <w:tcPr>
            <w:tcW w:w="534" w:type="dxa"/>
            <w:vMerge w:val="restart"/>
            <w:noWrap/>
            <w:textDirection w:val="btLr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ВИЧ</w:t>
            </w:r>
          </w:p>
        </w:tc>
        <w:tc>
          <w:tcPr>
            <w:tcW w:w="2868" w:type="dxa"/>
            <w:vMerge w:val="restart"/>
            <w:hideMark/>
          </w:tcPr>
          <w:p w:rsidR="001803B4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К 2018 году происходит стабилизация темпов распространения ВИЧ-инфекции среди  уязвимых групп, вовлеченных в программы AFEW. </w:t>
            </w:r>
          </w:p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  <w:i/>
                <w:iCs/>
              </w:rPr>
              <w:t xml:space="preserve">Целевой индикатор: % </w:t>
            </w:r>
            <w:proofErr w:type="gramStart"/>
            <w:r w:rsidRPr="00E92CBF">
              <w:rPr>
                <w:rFonts w:ascii="Times New Roman" w:hAnsi="Times New Roman" w:cs="Times New Roman"/>
                <w:i/>
                <w:iCs/>
              </w:rPr>
              <w:t xml:space="preserve">ПИН, вовлеченных в программу, знают свой ВИЧ статус и получают АРВ терапию по показаниям </w:t>
            </w:r>
            <w:proofErr w:type="gramEnd"/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Развитие и поддержка программ приверженности АРВТ и социального сопровождения  в партнерских организациях, с целью обеспечения универсального доступа уязвимых групп к качественным услугам (медицинским, социальным, юридическим);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уязвимые группы имеют доступ к качественным медицинским, социальным, юридическим  услугам через развитие программ социального сопровождения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1. % ПИН, осужденных, </w:t>
            </w:r>
            <w:r w:rsidR="001803B4" w:rsidRPr="00E92CBF">
              <w:rPr>
                <w:rFonts w:ascii="Times New Roman" w:hAnsi="Times New Roman" w:cs="Times New Roman"/>
              </w:rPr>
              <w:t>охваченных</w:t>
            </w:r>
            <w:r w:rsidRPr="00E92CBF">
              <w:rPr>
                <w:rFonts w:ascii="Times New Roman" w:hAnsi="Times New Roman" w:cs="Times New Roman"/>
              </w:rPr>
              <w:t xml:space="preserve"> программами, которые прошли тестирование на ВИЧ и знают свои результаты 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992" w:type="dxa"/>
            <w:noWrap/>
            <w:hideMark/>
          </w:tcPr>
          <w:p w:rsidR="00682B36" w:rsidRPr="00732F2C" w:rsidRDefault="00682B36" w:rsidP="002A477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92CBF">
              <w:rPr>
                <w:rFonts w:ascii="Times New Roman" w:hAnsi="Times New Roman" w:cs="Times New Roman"/>
              </w:rPr>
              <w:t>41,4%</w:t>
            </w:r>
            <w:r w:rsidR="00732F2C">
              <w:rPr>
                <w:rFonts w:ascii="Times New Roman" w:hAnsi="Times New Roman" w:cs="Times New Roman"/>
                <w:lang w:val="en-US"/>
              </w:rPr>
              <w:t>*</w:t>
            </w:r>
            <w:r w:rsidR="002A477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682B36" w:rsidRPr="00E92CBF" w:rsidTr="007661E1">
        <w:trPr>
          <w:trHeight w:val="840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3. увеличение количества новых клиентов 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не&lt;30%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51,7%</w:t>
            </w:r>
          </w:p>
        </w:tc>
      </w:tr>
      <w:tr w:rsidR="00682B36" w:rsidRPr="00E92CBF" w:rsidTr="007661E1">
        <w:trPr>
          <w:trHeight w:val="1485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4. % ПИН/ЛЖВ, </w:t>
            </w:r>
            <w:proofErr w:type="gramStart"/>
            <w:r w:rsidRPr="00E92CBF">
              <w:rPr>
                <w:rFonts w:ascii="Times New Roman" w:hAnsi="Times New Roman" w:cs="Times New Roman"/>
              </w:rPr>
              <w:t>принимающих</w:t>
            </w:r>
            <w:proofErr w:type="gramEnd"/>
            <w:r w:rsidRPr="00E92CBF">
              <w:rPr>
                <w:rFonts w:ascii="Times New Roman" w:hAnsi="Times New Roman" w:cs="Times New Roman"/>
              </w:rPr>
              <w:t xml:space="preserve"> АРВТ в течение отчетного периода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55,6%</w:t>
            </w:r>
          </w:p>
        </w:tc>
      </w:tr>
      <w:tr w:rsidR="00682B36" w:rsidRPr="00E92CBF" w:rsidTr="007661E1">
        <w:trPr>
          <w:trHeight w:val="1500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Снижение барьеров для осуществления профилактических программ через обучение сотрудников МВД, ГСКН, ГСИН по вопросам права, снижения стигмы, дискриминации;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существует четкая преемственность и взаимодействие между МВД, ГСИН, ГСКН и НПО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Количество совместных проектов, встреч, мероприятий, направленных на  усиление взаимодействия сотрудниками МВД, ГСИН, ГСКН 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не&lt;5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5</w:t>
            </w:r>
          </w:p>
        </w:tc>
      </w:tr>
      <w:tr w:rsidR="00682B36" w:rsidRPr="00E92CBF" w:rsidTr="007661E1">
        <w:trPr>
          <w:trHeight w:val="1230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Обучение медицинских специалистов и сотрудников партнерских  организаций AFEW  с целью повышения качества услуг; 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CBF">
              <w:rPr>
                <w:rFonts w:ascii="Times New Roman" w:hAnsi="Times New Roman" w:cs="Times New Roman"/>
              </w:rPr>
              <w:t>медспециалисты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и сотрудники партнерских  организаций предоставляют  качественные услуги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1.количество выпускников обучающих мероприятий по предоставлению услуг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  <w:r w:rsidR="001803B4" w:rsidRPr="00E92CBF">
              <w:rPr>
                <w:rFonts w:ascii="Times New Roman" w:hAnsi="Times New Roman" w:cs="Times New Roman"/>
                <w:lang w:val="en-US"/>
              </w:rPr>
              <w:t>&gt;</w:t>
            </w:r>
            <w:r w:rsidR="001803B4" w:rsidRPr="00E92CBF">
              <w:rPr>
                <w:rFonts w:ascii="Times New Roman" w:hAnsi="Times New Roman" w:cs="Times New Roman"/>
              </w:rPr>
              <w:t>75</w:t>
            </w:r>
          </w:p>
        </w:tc>
      </w:tr>
      <w:tr w:rsidR="00682B36" w:rsidRPr="00E92CBF" w:rsidTr="007661E1">
        <w:trPr>
          <w:trHeight w:val="1245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Разработка и внедрение на всех уровнях стандартов по профилактике ВИЧ среди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наркопотребителей</w:t>
            </w:r>
            <w:proofErr w:type="spellEnd"/>
            <w:r w:rsidRPr="00E92CBF">
              <w:rPr>
                <w:rFonts w:ascii="Times New Roman" w:hAnsi="Times New Roman" w:cs="Times New Roman"/>
              </w:rPr>
              <w:t>, включая их  институционализацию на уровне государственной системы здравоохранения;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стандарты по профилактике ВИЧ среди ПИН разработаны и утверждены МЗКР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количество утвержденных стандартов по профилактике ВИЧ среди ПИН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3</w:t>
            </w:r>
          </w:p>
        </w:tc>
      </w:tr>
      <w:tr w:rsidR="00682B36" w:rsidRPr="00E92CBF" w:rsidTr="007661E1">
        <w:trPr>
          <w:trHeight w:val="1260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Разработка и обеспечение информационным пакетом (алгоритм  работы с клиентом, ИОМ)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аутрич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работников и социальных консультантов, работающих с уязвимыми группами;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2CBF">
              <w:rPr>
                <w:rFonts w:ascii="Times New Roman" w:hAnsi="Times New Roman" w:cs="Times New Roman"/>
              </w:rPr>
              <w:t>Разработаны</w:t>
            </w:r>
            <w:proofErr w:type="gramEnd"/>
            <w:r w:rsidRPr="00E92CBF">
              <w:rPr>
                <w:rFonts w:ascii="Times New Roman" w:hAnsi="Times New Roman" w:cs="Times New Roman"/>
              </w:rPr>
              <w:t xml:space="preserve">, тиражированы и внедрены ИОМ для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аутричработников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и соц. консультантов 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количество ИОМ, используемых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аутричработниками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92CBF">
              <w:rPr>
                <w:rFonts w:ascii="Times New Roman" w:hAnsi="Times New Roman" w:cs="Times New Roman"/>
              </w:rPr>
              <w:t>соц</w:t>
            </w:r>
            <w:proofErr w:type="gramStart"/>
            <w:r w:rsidRPr="00E92CBF">
              <w:rPr>
                <w:rFonts w:ascii="Times New Roman" w:hAnsi="Times New Roman" w:cs="Times New Roman"/>
              </w:rPr>
              <w:t>.к</w:t>
            </w:r>
            <w:proofErr w:type="gramEnd"/>
            <w:r w:rsidRPr="00E92CBF">
              <w:rPr>
                <w:rFonts w:ascii="Times New Roman" w:hAnsi="Times New Roman" w:cs="Times New Roman"/>
              </w:rPr>
              <w:t>онсультантами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не&lt;250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893</w:t>
            </w:r>
          </w:p>
        </w:tc>
      </w:tr>
      <w:tr w:rsidR="00682B36" w:rsidRPr="00E92CBF" w:rsidTr="007661E1">
        <w:trPr>
          <w:trHeight w:val="1425"/>
        </w:trPr>
        <w:tc>
          <w:tcPr>
            <w:tcW w:w="534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Проведение информационных сессий по ВИЧ, ТБ, наркозависимости и снижению вреда для заключенных в исправительных учреждениях и клиентов</w:t>
            </w:r>
            <w:proofErr w:type="gramStart"/>
            <w:r w:rsidRPr="00E92CB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CBF">
              <w:rPr>
                <w:rFonts w:ascii="Times New Roman" w:hAnsi="Times New Roman" w:cs="Times New Roman"/>
              </w:rPr>
              <w:t>Заключеные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охвачены информационными сессиями по ВИЧ, ТБ, наркозависимости и </w:t>
            </w:r>
            <w:proofErr w:type="spellStart"/>
            <w:r w:rsidRPr="00E92CBF">
              <w:rPr>
                <w:rFonts w:ascii="Times New Roman" w:hAnsi="Times New Roman" w:cs="Times New Roman"/>
              </w:rPr>
              <w:t>сижению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вреда.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количество заключенных в ИУ, охваченных информационными сессиями по ВИЧ, ТБ, наркозависимости и снижению вреда.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не&lt;500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800</w:t>
            </w:r>
          </w:p>
        </w:tc>
      </w:tr>
      <w:tr w:rsidR="00682B36" w:rsidRPr="00E92CBF" w:rsidTr="007661E1">
        <w:trPr>
          <w:trHeight w:val="855"/>
        </w:trPr>
        <w:tc>
          <w:tcPr>
            <w:tcW w:w="534" w:type="dxa"/>
            <w:noWrap/>
            <w:textDirection w:val="btLr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8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Количество ПИН, охваченных информационными сессиями по ВИЧ, ТБ, </w:t>
            </w:r>
            <w:proofErr w:type="gramStart"/>
            <w:r w:rsidRPr="00E92CBF">
              <w:rPr>
                <w:rFonts w:ascii="Times New Roman" w:hAnsi="Times New Roman" w:cs="Times New Roman"/>
              </w:rPr>
              <w:t>СВ</w:t>
            </w:r>
            <w:proofErr w:type="gramEnd"/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 &lt;500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1304</w:t>
            </w:r>
          </w:p>
        </w:tc>
      </w:tr>
      <w:tr w:rsidR="00682B36" w:rsidRPr="00E92CBF" w:rsidTr="007661E1">
        <w:trPr>
          <w:trHeight w:val="1035"/>
        </w:trPr>
        <w:tc>
          <w:tcPr>
            <w:tcW w:w="534" w:type="dxa"/>
            <w:noWrap/>
            <w:textDirection w:val="btLr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68" w:type="dxa"/>
            <w:hideMark/>
          </w:tcPr>
          <w:p w:rsidR="00682B36" w:rsidRPr="00E92CBF" w:rsidRDefault="001803B4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Молодежь и подростки</w:t>
            </w:r>
          </w:p>
        </w:tc>
        <w:tc>
          <w:tcPr>
            <w:tcW w:w="3510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  <w:r w:rsidR="001803B4" w:rsidRPr="00E92CBF">
              <w:rPr>
                <w:rFonts w:ascii="Times New Roman" w:hAnsi="Times New Roman" w:cs="Times New Roman"/>
              </w:rPr>
              <w:t> Молодёжь имеет доступ к профилактическим программам и</w:t>
            </w:r>
            <w:r w:rsidR="00550FA2" w:rsidRPr="00E92CBF">
              <w:rPr>
                <w:rFonts w:ascii="Times New Roman" w:hAnsi="Times New Roman" w:cs="Times New Roman"/>
              </w:rPr>
              <w:t xml:space="preserve"> информированы вопросам сохранения здоровья</w:t>
            </w:r>
            <w:r w:rsidR="001803B4" w:rsidRPr="00E92CB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231" w:type="dxa"/>
            <w:noWrap/>
            <w:hideMark/>
          </w:tcPr>
          <w:p w:rsidR="00682B36" w:rsidRPr="00E92CBF" w:rsidRDefault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32" w:type="dxa"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Количество ПИН и осужденных, охваченных проф. программами Фонда в возрасте от 15-24 лет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не&lt;10%</w:t>
            </w:r>
          </w:p>
        </w:tc>
        <w:tc>
          <w:tcPr>
            <w:tcW w:w="992" w:type="dxa"/>
            <w:noWrap/>
            <w:hideMark/>
          </w:tcPr>
          <w:p w:rsidR="00682B36" w:rsidRPr="00E92CBF" w:rsidRDefault="00682B36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524 (9,8%)</w:t>
            </w:r>
          </w:p>
        </w:tc>
      </w:tr>
      <w:tr w:rsidR="00550FA2" w:rsidRPr="00E92CBF" w:rsidTr="007661E1">
        <w:trPr>
          <w:trHeight w:val="2707"/>
        </w:trPr>
        <w:tc>
          <w:tcPr>
            <w:tcW w:w="534" w:type="dxa"/>
            <w:vMerge w:val="restart"/>
            <w:noWrap/>
            <w:textDirection w:val="btLr"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ТБ</w:t>
            </w:r>
          </w:p>
        </w:tc>
        <w:tc>
          <w:tcPr>
            <w:tcW w:w="2868" w:type="dxa"/>
            <w:vMerge w:val="restart"/>
            <w:hideMark/>
          </w:tcPr>
          <w:p w:rsidR="00BE0873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Все клиенты  программ AFEW, включая программы социального сопровождения, находящиеся на DOTS, получают мотивационную поддержку и  завершают лечение полностью, а методология дистрибуции является уникальным </w:t>
            </w:r>
            <w:r w:rsidRPr="00E92CBF">
              <w:rPr>
                <w:rFonts w:ascii="Times New Roman" w:hAnsi="Times New Roman" w:cs="Times New Roman"/>
              </w:rPr>
              <w:lastRenderedPageBreak/>
              <w:t>продуктом Фонда.</w:t>
            </w:r>
          </w:p>
          <w:p w:rsidR="00550FA2" w:rsidRPr="00BE0873" w:rsidRDefault="00550FA2" w:rsidP="00682B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E0873">
              <w:rPr>
                <w:rFonts w:ascii="Times New Roman" w:hAnsi="Times New Roman" w:cs="Times New Roman"/>
                <w:i/>
              </w:rPr>
              <w:t xml:space="preserve">Целевой индикатор: % пациентов с ТБ, находящие на DOTS программе, </w:t>
            </w:r>
            <w:proofErr w:type="spellStart"/>
            <w:r w:rsidRPr="00BE0873">
              <w:rPr>
                <w:rFonts w:ascii="Times New Roman" w:hAnsi="Times New Roman" w:cs="Times New Roman"/>
                <w:i/>
              </w:rPr>
              <w:t>завершаюшие</w:t>
            </w:r>
            <w:proofErr w:type="spellEnd"/>
            <w:r w:rsidRPr="00BE0873">
              <w:rPr>
                <w:rFonts w:ascii="Times New Roman" w:hAnsi="Times New Roman" w:cs="Times New Roman"/>
                <w:i/>
              </w:rPr>
              <w:t xml:space="preserve"> лечение </w:t>
            </w: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lastRenderedPageBreak/>
              <w:t>Развитие и поддержка программ социального сопровождения в партнерских организациях, с целью обеспечения универсального доступа к диагностике и лечению ТБ;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клиенты AFEW имеют доступ к диагностике и лечению ТБ</w:t>
            </w:r>
          </w:p>
        </w:tc>
        <w:tc>
          <w:tcPr>
            <w:tcW w:w="3432" w:type="dxa"/>
          </w:tcPr>
          <w:p w:rsidR="00550FA2" w:rsidRPr="00E92CBF" w:rsidRDefault="00550FA2" w:rsidP="00854C4A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доля клиентов с ВИЧ+ статусом, прошедших обследование на ТБ </w:t>
            </w:r>
          </w:p>
        </w:tc>
        <w:tc>
          <w:tcPr>
            <w:tcW w:w="992" w:type="dxa"/>
            <w:noWrap/>
          </w:tcPr>
          <w:p w:rsidR="00550FA2" w:rsidRPr="00E92CBF" w:rsidRDefault="00550FA2" w:rsidP="00854C4A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не&lt;80%</w:t>
            </w:r>
          </w:p>
        </w:tc>
        <w:tc>
          <w:tcPr>
            <w:tcW w:w="992" w:type="dxa"/>
            <w:noWrap/>
            <w:hideMark/>
          </w:tcPr>
          <w:p w:rsidR="00953E81" w:rsidRDefault="00550FA2" w:rsidP="00953E81">
            <w:pPr>
              <w:rPr>
                <w:rFonts w:ascii="Times New Roman" w:hAnsi="Times New Roman" w:cs="Times New Roman"/>
              </w:rPr>
            </w:pPr>
            <w:proofErr w:type="gramStart"/>
            <w:r w:rsidRPr="00E92CBF">
              <w:rPr>
                <w:rFonts w:ascii="Times New Roman" w:hAnsi="Times New Roman" w:cs="Times New Roman"/>
              </w:rPr>
              <w:t>42%</w:t>
            </w:r>
            <w:r w:rsidR="00732F2C">
              <w:rPr>
                <w:rFonts w:ascii="Times New Roman" w:hAnsi="Times New Roman" w:cs="Times New Roman"/>
                <w:lang w:val="en-US"/>
              </w:rPr>
              <w:t>*</w:t>
            </w:r>
            <w:r w:rsidR="00953E81">
              <w:rPr>
                <w:rFonts w:ascii="Times New Roman" w:hAnsi="Times New Roman" w:cs="Times New Roman"/>
              </w:rPr>
              <w:t xml:space="preserve"> (данные за </w:t>
            </w:r>
            <w:r w:rsidR="00953E81">
              <w:rPr>
                <w:rFonts w:ascii="Times New Roman" w:hAnsi="Times New Roman" w:cs="Times New Roman"/>
                <w:lang w:val="en-US"/>
              </w:rPr>
              <w:t>II</w:t>
            </w:r>
            <w:r w:rsidR="00953E81">
              <w:rPr>
                <w:rFonts w:ascii="Times New Roman" w:hAnsi="Times New Roman" w:cs="Times New Roman"/>
              </w:rPr>
              <w:t xml:space="preserve"> полугодие</w:t>
            </w:r>
            <w:proofErr w:type="gramEnd"/>
          </w:p>
          <w:p w:rsidR="00550FA2" w:rsidRPr="00953E81" w:rsidRDefault="00953E81" w:rsidP="00953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50FA2" w:rsidRPr="00E92CBF" w:rsidTr="007661E1">
        <w:trPr>
          <w:trHeight w:val="1620"/>
        </w:trPr>
        <w:tc>
          <w:tcPr>
            <w:tcW w:w="534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Формирование единого операционного руководства по эффективной дистрибуции мотивационных пакетов для клиентов программ DOTS,  патентование и продвижение ее как уникального продукта Фонда;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Руководство по эффективной дистрибуции мотивационных пакетов разработано, запатентовано и пользуется спросом среди доноров.</w:t>
            </w:r>
          </w:p>
        </w:tc>
        <w:tc>
          <w:tcPr>
            <w:tcW w:w="3432" w:type="dxa"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Наличие руководства по дистрибуции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2CBF">
              <w:rPr>
                <w:rFonts w:ascii="Times New Roman" w:hAnsi="Times New Roman" w:cs="Times New Roman"/>
              </w:rPr>
              <w:t>драфт</w:t>
            </w:r>
            <w:proofErr w:type="spellEnd"/>
          </w:p>
        </w:tc>
      </w:tr>
      <w:tr w:rsidR="00550FA2" w:rsidRPr="00E92CBF" w:rsidTr="007661E1">
        <w:trPr>
          <w:trHeight w:val="1140"/>
        </w:trPr>
        <w:tc>
          <w:tcPr>
            <w:tcW w:w="534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Использование системы дистрибуции мотивационных пакетов для клиентов программ DOTS для формирования  приверженности к завершению лечения;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пациенты DOTS привержены к завершению лечения</w:t>
            </w:r>
          </w:p>
        </w:tc>
        <w:tc>
          <w:tcPr>
            <w:tcW w:w="3432" w:type="dxa"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% пациентов DOTS в программе мотивационной поддержки, завершивших лечение полностью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 &lt;98%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99%</w:t>
            </w:r>
          </w:p>
        </w:tc>
      </w:tr>
      <w:tr w:rsidR="00550FA2" w:rsidRPr="00E92CBF" w:rsidTr="007661E1">
        <w:trPr>
          <w:trHeight w:val="1725"/>
        </w:trPr>
        <w:tc>
          <w:tcPr>
            <w:tcW w:w="534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Сотрудничество с </w:t>
            </w:r>
            <w:proofErr w:type="spellStart"/>
            <w:proofErr w:type="gramStart"/>
            <w:r w:rsidRPr="00E92CBF">
              <w:rPr>
                <w:rFonts w:ascii="Times New Roman" w:hAnsi="Times New Roman" w:cs="Times New Roman"/>
              </w:rPr>
              <w:t>гос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сектором</w:t>
            </w:r>
            <w:proofErr w:type="gramEnd"/>
            <w:r w:rsidRPr="00E92CBF">
              <w:rPr>
                <w:rFonts w:ascii="Times New Roman" w:hAnsi="Times New Roman" w:cs="Times New Roman"/>
              </w:rPr>
              <w:t xml:space="preserve"> в лице МЗКР, НЦФ, с целью создания взаимосвязи между 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гос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сектором и </w:t>
            </w:r>
            <w:proofErr w:type="spellStart"/>
            <w:r w:rsidRPr="00E92CBF">
              <w:rPr>
                <w:rFonts w:ascii="Times New Roman" w:hAnsi="Times New Roman" w:cs="Times New Roman"/>
              </w:rPr>
              <w:t>секторм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НПО по улучшению </w:t>
            </w:r>
            <w:proofErr w:type="spellStart"/>
            <w:r w:rsidRPr="00E92CBF">
              <w:rPr>
                <w:rFonts w:ascii="Times New Roman" w:hAnsi="Times New Roman" w:cs="Times New Roman"/>
              </w:rPr>
              <w:t>эпид</w:t>
            </w:r>
            <w:proofErr w:type="spellEnd"/>
            <w:r w:rsidRPr="00E92CBF">
              <w:rPr>
                <w:rFonts w:ascii="Times New Roman" w:hAnsi="Times New Roman" w:cs="Times New Roman"/>
              </w:rPr>
              <w:t>. ситуации ТБ среди ключевых групп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работают совместные проекты/оценки/исследования, направленные на профилактику и диагностику ТБ с НЦФ</w:t>
            </w:r>
          </w:p>
        </w:tc>
        <w:tc>
          <w:tcPr>
            <w:tcW w:w="3432" w:type="dxa"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92CBF">
              <w:rPr>
                <w:rFonts w:ascii="Times New Roman" w:hAnsi="Times New Roman" w:cs="Times New Roman"/>
              </w:rPr>
              <w:t>фасилитированных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Фондом дискуссий, встреч, мероприятий, направленных на профилактику и диагностику ТБ между НЦФ и НПО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не&lt;1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 </w:t>
            </w:r>
            <w:r w:rsidR="00BE0873">
              <w:rPr>
                <w:rFonts w:ascii="Times New Roman" w:hAnsi="Times New Roman" w:cs="Times New Roman"/>
              </w:rPr>
              <w:t>нет</w:t>
            </w:r>
          </w:p>
        </w:tc>
      </w:tr>
      <w:tr w:rsidR="00550FA2" w:rsidRPr="00E92CBF" w:rsidTr="007661E1">
        <w:trPr>
          <w:trHeight w:val="1335"/>
        </w:trPr>
        <w:tc>
          <w:tcPr>
            <w:tcW w:w="534" w:type="dxa"/>
            <w:vMerge w:val="restart"/>
            <w:noWrap/>
            <w:textDirection w:val="btLr"/>
            <w:hideMark/>
          </w:tcPr>
          <w:p w:rsidR="00550FA2" w:rsidRPr="00E92CBF" w:rsidRDefault="00550FA2" w:rsidP="00830E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2CBF">
              <w:rPr>
                <w:rFonts w:ascii="Times New Roman" w:hAnsi="Times New Roman" w:cs="Times New Roman"/>
                <w:b/>
                <w:bCs/>
              </w:rPr>
              <w:t>Информация</w:t>
            </w:r>
          </w:p>
        </w:tc>
        <w:tc>
          <w:tcPr>
            <w:tcW w:w="2868" w:type="dxa"/>
            <w:vMerge w:val="restart"/>
            <w:hideMark/>
          </w:tcPr>
          <w:p w:rsidR="00BE0873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92CBF">
              <w:rPr>
                <w:rFonts w:ascii="Times New Roman" w:hAnsi="Times New Roman" w:cs="Times New Roman"/>
              </w:rPr>
              <w:t xml:space="preserve">К 2018 году не менее  5000  медицинских специалистов и представителей сообществ Кыргызстана и Центральной Азии имеют доступ к профессиональной и своевременной информации и консультации ведущих экспертов в области профилактики, лечения ВИЧ-инфекции, ТБ, </w:t>
            </w:r>
            <w:r w:rsidRPr="00E92CBF">
              <w:rPr>
                <w:rFonts w:ascii="Times New Roman" w:hAnsi="Times New Roman" w:cs="Times New Roman"/>
              </w:rPr>
              <w:lastRenderedPageBreak/>
              <w:t xml:space="preserve">гепатитов, наркозависимости и, связанных  с ними правовых вопросов, посредством использования консультативной интернет-платформы,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институционализированной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на базе КГМИ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ПиПК</w:t>
            </w:r>
            <w:proofErr w:type="spellEnd"/>
            <w:r w:rsidRPr="00E92CBF">
              <w:rPr>
                <w:rFonts w:ascii="Times New Roman" w:hAnsi="Times New Roman" w:cs="Times New Roman"/>
              </w:rPr>
              <w:t>, тренингов  и семинаров AFEW.</w:t>
            </w:r>
            <w:proofErr w:type="gramEnd"/>
          </w:p>
          <w:p w:rsidR="00550FA2" w:rsidRPr="00BE0873" w:rsidRDefault="00550FA2" w:rsidP="00682B3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2CBF">
              <w:rPr>
                <w:rFonts w:ascii="Times New Roman" w:hAnsi="Times New Roman" w:cs="Times New Roman"/>
              </w:rPr>
              <w:t xml:space="preserve"> </w:t>
            </w:r>
            <w:r w:rsidRPr="00BE0873">
              <w:rPr>
                <w:rFonts w:ascii="Times New Roman" w:hAnsi="Times New Roman" w:cs="Times New Roman"/>
                <w:i/>
              </w:rPr>
              <w:t>Целевой индикатор: не менее  5000  медицинских специалистов и представителей сообществ Кыргызстана и Центральной Азии являются пользователями интернет платформы.</w:t>
            </w: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lastRenderedPageBreak/>
              <w:t xml:space="preserve">Совершенствование и развитие </w:t>
            </w:r>
            <w:proofErr w:type="gramStart"/>
            <w:r w:rsidRPr="00E92CBF">
              <w:rPr>
                <w:rFonts w:ascii="Times New Roman" w:hAnsi="Times New Roman" w:cs="Times New Roman"/>
              </w:rPr>
              <w:t>программного</w:t>
            </w:r>
            <w:proofErr w:type="gramEnd"/>
            <w:r w:rsidRPr="00E92CBF">
              <w:rPr>
                <w:rFonts w:ascii="Times New Roman" w:hAnsi="Times New Roman" w:cs="Times New Roman"/>
              </w:rPr>
              <w:t xml:space="preserve"> контента консультативной интернет-платформы,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институционализированной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на базе КГМИ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ПиПК</w:t>
            </w:r>
            <w:proofErr w:type="spellEnd"/>
            <w:r w:rsidRPr="00E92CBF">
              <w:rPr>
                <w:rFonts w:ascii="Times New Roman" w:hAnsi="Times New Roman" w:cs="Times New Roman"/>
              </w:rPr>
              <w:t>, тренингов  и семинаров AFEW;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Интернет-платформа успешно используется мед специалистами и представителями сообщества </w:t>
            </w:r>
          </w:p>
        </w:tc>
        <w:tc>
          <w:tcPr>
            <w:tcW w:w="3432" w:type="dxa"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Количество зарегистрированных пользователей ИП. 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&gt;10%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D6BFA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381 (83,5%)</w:t>
            </w:r>
          </w:p>
        </w:tc>
      </w:tr>
      <w:tr w:rsidR="00550FA2" w:rsidRPr="00E92CBF" w:rsidTr="007661E1">
        <w:trPr>
          <w:trHeight w:val="1275"/>
        </w:trPr>
        <w:tc>
          <w:tcPr>
            <w:tcW w:w="534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Привлечение к деятельности в развитии информации и консультаций на базе платформы ведущих национальных и международных экспертов;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Все ведущие национальные и международные эксперты консультируют пользователей </w:t>
            </w:r>
            <w:proofErr w:type="gramStart"/>
            <w:r w:rsidRPr="00E92CBF">
              <w:rPr>
                <w:rFonts w:ascii="Times New Roman" w:hAnsi="Times New Roman" w:cs="Times New Roman"/>
              </w:rPr>
              <w:t>интернет-платформы</w:t>
            </w:r>
            <w:proofErr w:type="gramEnd"/>
          </w:p>
        </w:tc>
        <w:tc>
          <w:tcPr>
            <w:tcW w:w="3432" w:type="dxa"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Количество национальных и международных </w:t>
            </w:r>
            <w:proofErr w:type="spellStart"/>
            <w:r w:rsidRPr="00E92CBF">
              <w:rPr>
                <w:rFonts w:ascii="Times New Roman" w:hAnsi="Times New Roman" w:cs="Times New Roman"/>
              </w:rPr>
              <w:t>экпертов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консультирующих пользователей </w:t>
            </w:r>
            <w:proofErr w:type="gramStart"/>
            <w:r w:rsidRPr="00E92CBF">
              <w:rPr>
                <w:rFonts w:ascii="Times New Roman" w:hAnsi="Times New Roman" w:cs="Times New Roman"/>
              </w:rPr>
              <w:t>интернет-платформы</w:t>
            </w:r>
            <w:proofErr w:type="gramEnd"/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5</w:t>
            </w:r>
          </w:p>
        </w:tc>
      </w:tr>
      <w:tr w:rsidR="00550FA2" w:rsidRPr="00E92CBF" w:rsidTr="007661E1">
        <w:trPr>
          <w:trHeight w:val="2280"/>
        </w:trPr>
        <w:tc>
          <w:tcPr>
            <w:tcW w:w="534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Привлечение партнеров AFEW к участию в использовании профессиональной и своевременной информации и консультации ведущих экспертов в области профилактики, лечения ВИЧ-инфекции, ТБ, гепатитов, наркозависимости и связанных  с ними правовых вопросов, посредством использования консультативной </w:t>
            </w:r>
            <w:proofErr w:type="gramStart"/>
            <w:r w:rsidRPr="00E92CBF">
              <w:rPr>
                <w:rFonts w:ascii="Times New Roman" w:hAnsi="Times New Roman" w:cs="Times New Roman"/>
              </w:rPr>
              <w:t>интернет-платформы</w:t>
            </w:r>
            <w:proofErr w:type="gramEnd"/>
            <w:r w:rsidRPr="00E92C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институционализированной</w:t>
            </w:r>
            <w:proofErr w:type="spellEnd"/>
            <w:r w:rsidRPr="00E92CBF">
              <w:rPr>
                <w:rFonts w:ascii="Times New Roman" w:hAnsi="Times New Roman" w:cs="Times New Roman"/>
              </w:rPr>
              <w:t xml:space="preserve"> на базе КГМИ </w:t>
            </w:r>
            <w:proofErr w:type="spellStart"/>
            <w:r w:rsidRPr="00E92CBF">
              <w:rPr>
                <w:rFonts w:ascii="Times New Roman" w:hAnsi="Times New Roman" w:cs="Times New Roman"/>
              </w:rPr>
              <w:t>ПиПК</w:t>
            </w:r>
            <w:proofErr w:type="spellEnd"/>
            <w:r w:rsidRPr="00E92CBF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Партнеры AFEW используют интернет платформу как основной инструмент повышения знаний и навыков в области профилактики и лечения ВИЧ-инфекции, ТБ, гепатитов, наркозависимости и связанных  с ними правовых вопросов</w:t>
            </w:r>
          </w:p>
        </w:tc>
        <w:tc>
          <w:tcPr>
            <w:tcW w:w="3432" w:type="dxa"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Количество партнеров активно пользующихся интернет платформой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не&lt;7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15</w:t>
            </w:r>
          </w:p>
        </w:tc>
      </w:tr>
      <w:tr w:rsidR="00550FA2" w:rsidRPr="00E92CBF" w:rsidTr="007661E1">
        <w:trPr>
          <w:trHeight w:val="4800"/>
        </w:trPr>
        <w:tc>
          <w:tcPr>
            <w:tcW w:w="534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vMerge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 xml:space="preserve">Обеспечение широкого доступа пользователей </w:t>
            </w:r>
            <w:proofErr w:type="gramStart"/>
            <w:r w:rsidRPr="00E92CBF">
              <w:rPr>
                <w:rFonts w:ascii="Times New Roman" w:hAnsi="Times New Roman" w:cs="Times New Roman"/>
              </w:rPr>
              <w:t>к</w:t>
            </w:r>
            <w:proofErr w:type="gramEnd"/>
            <w:r w:rsidRPr="00E92C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2CBF">
              <w:rPr>
                <w:rFonts w:ascii="Times New Roman" w:hAnsi="Times New Roman" w:cs="Times New Roman"/>
              </w:rPr>
              <w:t>интернет</w:t>
            </w:r>
            <w:proofErr w:type="gramEnd"/>
            <w:r w:rsidRPr="00E92CBF">
              <w:rPr>
                <w:rFonts w:ascii="Times New Roman" w:hAnsi="Times New Roman" w:cs="Times New Roman"/>
              </w:rPr>
              <w:t xml:space="preserve"> платформе через использование нескольких рабочих  языков;</w:t>
            </w:r>
          </w:p>
        </w:tc>
        <w:tc>
          <w:tcPr>
            <w:tcW w:w="3231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интернет платформа поддерживает несколько языков (как минимум 2)</w:t>
            </w:r>
          </w:p>
        </w:tc>
        <w:tc>
          <w:tcPr>
            <w:tcW w:w="3432" w:type="dxa"/>
            <w:noWrap/>
            <w:hideMark/>
          </w:tcPr>
          <w:p w:rsidR="00550FA2" w:rsidRPr="00E92CBF" w:rsidRDefault="00550FA2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Интернет платформа поддерживает несколько языков (как минимум 2)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550FA2" w:rsidRPr="00E92CBF" w:rsidRDefault="00550FA2" w:rsidP="00682B36">
            <w:pPr>
              <w:jc w:val="both"/>
              <w:rPr>
                <w:rFonts w:ascii="Times New Roman" w:hAnsi="Times New Roman" w:cs="Times New Roman"/>
              </w:rPr>
            </w:pPr>
            <w:r w:rsidRPr="00E92CBF">
              <w:rPr>
                <w:rFonts w:ascii="Times New Roman" w:hAnsi="Times New Roman" w:cs="Times New Roman"/>
              </w:rPr>
              <w:t>2</w:t>
            </w:r>
          </w:p>
        </w:tc>
      </w:tr>
    </w:tbl>
    <w:p w:rsidR="002A477D" w:rsidRPr="002A477D" w:rsidRDefault="00682B36" w:rsidP="002A477D">
      <w:pPr>
        <w:jc w:val="both"/>
        <w:rPr>
          <w:rFonts w:ascii="Times New Roman" w:hAnsi="Times New Roman" w:cs="Times New Roman"/>
          <w:i/>
        </w:rPr>
      </w:pPr>
      <w:r w:rsidRPr="00E92CBF">
        <w:rPr>
          <w:rFonts w:ascii="Times New Roman" w:hAnsi="Times New Roman" w:cs="Times New Roman"/>
        </w:rPr>
        <w:fldChar w:fldCharType="end"/>
      </w:r>
      <w:r w:rsidR="002A477D" w:rsidRPr="002A477D">
        <w:rPr>
          <w:rFonts w:ascii="Times New Roman" w:hAnsi="Times New Roman" w:cs="Times New Roman"/>
          <w:i/>
        </w:rPr>
        <w:t xml:space="preserve">*Примечание: </w:t>
      </w:r>
    </w:p>
    <w:p w:rsidR="002A477D" w:rsidRPr="002A477D" w:rsidRDefault="002A477D" w:rsidP="002A477D">
      <w:pPr>
        <w:jc w:val="both"/>
        <w:rPr>
          <w:rFonts w:ascii="Times New Roman" w:hAnsi="Times New Roman" w:cs="Times New Roman"/>
        </w:rPr>
      </w:pPr>
      <w:r w:rsidRPr="002A477D">
        <w:rPr>
          <w:rFonts w:ascii="Times New Roman" w:hAnsi="Times New Roman" w:cs="Times New Roman"/>
          <w:i/>
        </w:rPr>
        <w:t xml:space="preserve">1. индикатор по тестированию программных ПИН на ВИЧ инфекцию учитывал клиентов, прошедших тест методом ИФА. Клиенты, прошедшие тест методом </w:t>
      </w:r>
      <w:proofErr w:type="gramStart"/>
      <w:r w:rsidRPr="002A477D">
        <w:rPr>
          <w:rFonts w:ascii="Times New Roman" w:hAnsi="Times New Roman" w:cs="Times New Roman"/>
          <w:i/>
        </w:rPr>
        <w:t>экспресс-тестирования</w:t>
      </w:r>
      <w:proofErr w:type="gramEnd"/>
      <w:r w:rsidRPr="002A477D">
        <w:rPr>
          <w:rFonts w:ascii="Times New Roman" w:hAnsi="Times New Roman" w:cs="Times New Roman"/>
          <w:i/>
        </w:rPr>
        <w:t xml:space="preserve"> по слюне (финансирование ГФ) не брались в расчет во избежание двойного учета клиентов. 2.Индикатор по обследованию ПИН/ЛЖВ на ТБ начал отслеживаться со второго полугодия 2014г.    </w:t>
      </w:r>
      <w:r w:rsidRPr="002A477D">
        <w:rPr>
          <w:rFonts w:ascii="Times New Roman" w:hAnsi="Times New Roman" w:cs="Times New Roman"/>
        </w:rPr>
        <w:t xml:space="preserve"> </w:t>
      </w:r>
    </w:p>
    <w:p w:rsidR="0047020E" w:rsidRDefault="0047020E" w:rsidP="00DF4B7A">
      <w:pPr>
        <w:jc w:val="both"/>
      </w:pPr>
    </w:p>
    <w:p w:rsidR="0063349E" w:rsidRDefault="0063349E" w:rsidP="00DF4B7A">
      <w:pPr>
        <w:jc w:val="both"/>
      </w:pPr>
      <w:r>
        <w:lastRenderedPageBreak/>
        <w:fldChar w:fldCharType="begin"/>
      </w:r>
      <w:r>
        <w:instrText xml:space="preserve"> LINK </w:instrText>
      </w:r>
      <w:r w:rsidR="002A477D">
        <w:instrText xml:space="preserve">Excel.Sheet.12 "C:\\Users\\User\\Desktop\\МиО AFEW\\PMP AFEW  - 2014.xlsx" адвокации!R6C2:R13C8 </w:instrText>
      </w:r>
      <w:r>
        <w:instrText xml:space="preserve">\a \f 5 \h  \* MERGEFORMAT </w:instrText>
      </w:r>
      <w:r>
        <w:fldChar w:fldCharType="separate"/>
      </w:r>
    </w:p>
    <w:tbl>
      <w:tblPr>
        <w:tblStyle w:val="a6"/>
        <w:tblW w:w="15417" w:type="dxa"/>
        <w:tblLook w:val="04A0" w:firstRow="1" w:lastRow="0" w:firstColumn="1" w:lastColumn="0" w:noHBand="0" w:noVBand="1"/>
      </w:tblPr>
      <w:tblGrid>
        <w:gridCol w:w="534"/>
        <w:gridCol w:w="2583"/>
        <w:gridCol w:w="3402"/>
        <w:gridCol w:w="3261"/>
        <w:gridCol w:w="3402"/>
        <w:gridCol w:w="992"/>
        <w:gridCol w:w="1243"/>
      </w:tblGrid>
      <w:tr w:rsidR="0063349E" w:rsidRPr="0063349E" w:rsidTr="0063349E">
        <w:trPr>
          <w:trHeight w:val="1365"/>
        </w:trPr>
        <w:tc>
          <w:tcPr>
            <w:tcW w:w="534" w:type="dxa"/>
            <w:textDirection w:val="btLr"/>
            <w:hideMark/>
          </w:tcPr>
          <w:p w:rsidR="0063349E" w:rsidRPr="0063349E" w:rsidRDefault="0063349E" w:rsidP="00830E55">
            <w:pPr>
              <w:jc w:val="center"/>
              <w:rPr>
                <w:b/>
                <w:bCs/>
              </w:rPr>
            </w:pPr>
            <w:proofErr w:type="spellStart"/>
            <w:r w:rsidRPr="0063349E">
              <w:rPr>
                <w:b/>
                <w:bCs/>
              </w:rPr>
              <w:t>Адвокация</w:t>
            </w:r>
            <w:proofErr w:type="spellEnd"/>
            <w:r w:rsidRPr="0063349E">
              <w:rPr>
                <w:b/>
                <w:bCs/>
              </w:rPr>
              <w:t>/гепатиты</w:t>
            </w:r>
          </w:p>
        </w:tc>
        <w:tc>
          <w:tcPr>
            <w:tcW w:w="2976" w:type="dxa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 xml:space="preserve">Гепатит В,С признан социально значимым заболеванием и к 2018 году  AFEW с партнерами на основе результатов масштабных исследований,  </w:t>
            </w:r>
            <w:proofErr w:type="spellStart"/>
            <w:r w:rsidRPr="0063349E">
              <w:t>адвокатировали</w:t>
            </w:r>
            <w:proofErr w:type="spellEnd"/>
            <w:r w:rsidRPr="0063349E">
              <w:t xml:space="preserve"> принятие Государственной программы по вирусным гепатитам, включающей разработку и внедрение клинических протоколов и нормативных документов по  вопросам профилактики, качества услуг, доступа к диагностике, лечению гепатита</w:t>
            </w:r>
            <w:proofErr w:type="gramStart"/>
            <w:r w:rsidRPr="0063349E">
              <w:t xml:space="preserve"> В</w:t>
            </w:r>
            <w:proofErr w:type="gramEnd"/>
            <w:r w:rsidRPr="0063349E">
              <w:t xml:space="preserve">, С Целевой индикатор: Фонд вовлечен (представлен) в мероприятия по вопросам гепатита </w:t>
            </w:r>
            <w:proofErr w:type="spellStart"/>
            <w:r w:rsidRPr="0063349E">
              <w:t>ВиС</w:t>
            </w:r>
            <w:proofErr w:type="spellEnd"/>
            <w:r w:rsidRPr="0063349E">
              <w:t xml:space="preserve"> на Национальном уровне </w:t>
            </w: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1.    Сбор и анализ данных на основе вторичных документов для оценки масштабности проблемы по  гепатитам В,С и формирования группы сторонников;</w:t>
            </w:r>
          </w:p>
        </w:tc>
        <w:tc>
          <w:tcPr>
            <w:tcW w:w="3261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 xml:space="preserve">Проведена оценка </w:t>
            </w:r>
            <w:proofErr w:type="spellStart"/>
            <w:r w:rsidRPr="0063349E">
              <w:t>эпидситуации</w:t>
            </w:r>
            <w:proofErr w:type="spellEnd"/>
            <w:r w:rsidRPr="0063349E">
              <w:t xml:space="preserve"> гепатитов</w:t>
            </w:r>
            <w:proofErr w:type="gramStart"/>
            <w:r w:rsidRPr="0063349E">
              <w:t xml:space="preserve"> В</w:t>
            </w:r>
            <w:proofErr w:type="gramEnd"/>
            <w:r w:rsidRPr="0063349E">
              <w:t xml:space="preserve"> и С в Кыргызстане </w:t>
            </w:r>
          </w:p>
        </w:tc>
        <w:tc>
          <w:tcPr>
            <w:tcW w:w="3402" w:type="dxa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 xml:space="preserve">Наличие кабинетного отчета по </w:t>
            </w:r>
            <w:proofErr w:type="spellStart"/>
            <w:r w:rsidRPr="0063349E">
              <w:t>эпидситуации</w:t>
            </w:r>
            <w:proofErr w:type="spellEnd"/>
            <w:r w:rsidRPr="0063349E">
              <w:t xml:space="preserve"> гепатита </w:t>
            </w:r>
            <w:proofErr w:type="spellStart"/>
            <w:r w:rsidRPr="0063349E">
              <w:t>ВиС</w:t>
            </w:r>
            <w:proofErr w:type="spellEnd"/>
            <w:r w:rsidRPr="0063349E">
              <w:t xml:space="preserve"> в Кыргызстане </w:t>
            </w:r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1</w:t>
            </w:r>
          </w:p>
        </w:tc>
        <w:tc>
          <w:tcPr>
            <w:tcW w:w="850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1</w:t>
            </w:r>
          </w:p>
        </w:tc>
      </w:tr>
      <w:tr w:rsidR="0063349E" w:rsidRPr="0063349E" w:rsidTr="0063349E">
        <w:trPr>
          <w:trHeight w:val="2115"/>
        </w:trPr>
        <w:tc>
          <w:tcPr>
            <w:tcW w:w="534" w:type="dxa"/>
            <w:textDirection w:val="btLr"/>
            <w:hideMark/>
          </w:tcPr>
          <w:p w:rsidR="0063349E" w:rsidRPr="0063349E" w:rsidRDefault="0063349E" w:rsidP="00830E55">
            <w:pPr>
              <w:jc w:val="center"/>
              <w:rPr>
                <w:b/>
                <w:bCs/>
              </w:rPr>
            </w:pPr>
            <w:proofErr w:type="spellStart"/>
            <w:r w:rsidRPr="0063349E">
              <w:rPr>
                <w:b/>
                <w:bCs/>
              </w:rPr>
              <w:t>Адвокация</w:t>
            </w:r>
            <w:proofErr w:type="spellEnd"/>
            <w:r w:rsidRPr="0063349E">
              <w:rPr>
                <w:b/>
                <w:bCs/>
              </w:rPr>
              <w:t xml:space="preserve">/  </w:t>
            </w:r>
            <w:proofErr w:type="spellStart"/>
            <w:r w:rsidRPr="0063349E">
              <w:rPr>
                <w:b/>
                <w:bCs/>
              </w:rPr>
              <w:t>Вич</w:t>
            </w:r>
            <w:proofErr w:type="spellEnd"/>
          </w:p>
        </w:tc>
        <w:tc>
          <w:tcPr>
            <w:tcW w:w="2976" w:type="dxa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 xml:space="preserve">ВИЧ-позитивные граждане в </w:t>
            </w:r>
            <w:proofErr w:type="gramStart"/>
            <w:r w:rsidRPr="0063349E">
              <w:t>КР</w:t>
            </w:r>
            <w:proofErr w:type="gramEnd"/>
            <w:r w:rsidRPr="0063349E">
              <w:t xml:space="preserve"> пользуются  конфиденциальной системой получения социальных  пособий и пособий  по инвалидности, обеспечивающей их  эффективную </w:t>
            </w:r>
            <w:r w:rsidRPr="0063349E">
              <w:lastRenderedPageBreak/>
              <w:t>поддержку</w:t>
            </w: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lastRenderedPageBreak/>
              <w:t xml:space="preserve">2.    Изучение опыта других стран по использованию конфиденциальных и безопасных систем получения социальных пособий для </w:t>
            </w:r>
            <w:proofErr w:type="gramStart"/>
            <w:r w:rsidRPr="0063349E">
              <w:t>ВИЧ-позитивных</w:t>
            </w:r>
            <w:proofErr w:type="gramEnd"/>
            <w:r w:rsidRPr="0063349E">
              <w:t xml:space="preserve"> граждан;</w:t>
            </w:r>
          </w:p>
        </w:tc>
        <w:tc>
          <w:tcPr>
            <w:tcW w:w="3261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 xml:space="preserve">Сотрудники владеют знаниями международных практик направленных на использование конфиденциальных и безопасных систем получения социальных пособий для </w:t>
            </w:r>
            <w:proofErr w:type="gramStart"/>
            <w:r w:rsidRPr="0063349E">
              <w:t>ВИЧ-позитивных</w:t>
            </w:r>
            <w:proofErr w:type="gramEnd"/>
            <w:r w:rsidRPr="0063349E">
              <w:t xml:space="preserve"> граждан</w:t>
            </w: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Презентация/отчет кабинетного исследования по положительным зарубежным практикам создания конфиденциальных систем получения социальных пособий для ЛЖВ</w:t>
            </w:r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1</w:t>
            </w:r>
          </w:p>
        </w:tc>
        <w:tc>
          <w:tcPr>
            <w:tcW w:w="850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 </w:t>
            </w:r>
            <w:r w:rsidR="00D96FB8">
              <w:t>1</w:t>
            </w:r>
          </w:p>
        </w:tc>
      </w:tr>
      <w:tr w:rsidR="0063349E" w:rsidRPr="0063349E" w:rsidTr="0063349E">
        <w:trPr>
          <w:trHeight w:val="3666"/>
        </w:trPr>
        <w:tc>
          <w:tcPr>
            <w:tcW w:w="534" w:type="dxa"/>
            <w:vMerge w:val="restart"/>
            <w:noWrap/>
            <w:textDirection w:val="btLr"/>
            <w:hideMark/>
          </w:tcPr>
          <w:p w:rsidR="0063349E" w:rsidRPr="0063349E" w:rsidRDefault="0063349E" w:rsidP="00830E55">
            <w:pPr>
              <w:jc w:val="center"/>
              <w:rPr>
                <w:b/>
                <w:bCs/>
              </w:rPr>
            </w:pPr>
            <w:proofErr w:type="spellStart"/>
            <w:r w:rsidRPr="0063349E">
              <w:rPr>
                <w:b/>
                <w:bCs/>
              </w:rPr>
              <w:lastRenderedPageBreak/>
              <w:t>Адвокация</w:t>
            </w:r>
            <w:proofErr w:type="spellEnd"/>
          </w:p>
        </w:tc>
        <w:tc>
          <w:tcPr>
            <w:tcW w:w="2976" w:type="dxa"/>
            <w:vMerge w:val="restart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 xml:space="preserve">AFEW имеет  положительный имидж и благоприятную поддерживающую среду среди национальных партнеров, международного сообщества и  своевременно  совместно с партнерами реагирует на вызовы и формирует основные сообщения для Правительства и доноров в отношении прав человека в области общественного здравоохранения и профилактики социально значимых заболеваний. Признавая важность эффективного и профессионального партнерства,  Фонд  содействует развитию национальных  партнеров  в рамках своих программ. </w:t>
            </w: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 xml:space="preserve">2.    </w:t>
            </w:r>
            <w:proofErr w:type="gramStart"/>
            <w:r w:rsidRPr="0063349E">
              <w:t>Создание устойчивых  партнерских отношений с международными организациями в вопросах планирования и продвижения  программ по профилактике, диагностике и лечению, контролю качества услуг в отношении социально значимых заболеваний в Кыргызстане;</w:t>
            </w:r>
            <w:proofErr w:type="gramEnd"/>
          </w:p>
        </w:tc>
        <w:tc>
          <w:tcPr>
            <w:tcW w:w="3261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Существует устойчивая взаимосвязь с международными организациями в вопросах планирования и продвижения программ по профилактике, диагностике и лечению, контролю качества услуг в отношении социально значимых заболеваний в Кыргызстане;</w:t>
            </w:r>
          </w:p>
        </w:tc>
        <w:tc>
          <w:tcPr>
            <w:tcW w:w="3402" w:type="dxa"/>
            <w:hideMark/>
          </w:tcPr>
          <w:p w:rsidR="0063349E" w:rsidRPr="0063349E" w:rsidRDefault="0063349E" w:rsidP="0063349E">
            <w:pPr>
              <w:jc w:val="both"/>
              <w:rPr>
                <w:sz w:val="24"/>
              </w:rPr>
            </w:pPr>
            <w:r w:rsidRPr="0063349E">
              <w:rPr>
                <w:sz w:val="24"/>
              </w:rPr>
              <w:t xml:space="preserve">Количество совместных мероприятий, направленных на продвижение профилактических программ в отношении </w:t>
            </w:r>
            <w:proofErr w:type="spellStart"/>
            <w:r w:rsidRPr="0063349E">
              <w:rPr>
                <w:sz w:val="24"/>
              </w:rPr>
              <w:t>социльно</w:t>
            </w:r>
            <w:proofErr w:type="spellEnd"/>
            <w:r w:rsidRPr="0063349E">
              <w:rPr>
                <w:sz w:val="24"/>
              </w:rPr>
              <w:t xml:space="preserve"> значимых заболеваний в </w:t>
            </w:r>
            <w:proofErr w:type="gramStart"/>
            <w:r w:rsidRPr="0063349E">
              <w:rPr>
                <w:sz w:val="24"/>
              </w:rPr>
              <w:t>КР</w:t>
            </w:r>
            <w:proofErr w:type="gramEnd"/>
            <w:r w:rsidRPr="0063349E">
              <w:rPr>
                <w:sz w:val="24"/>
              </w:rPr>
              <w:t xml:space="preserve"> с международными организациями.</w:t>
            </w:r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не&lt;2</w:t>
            </w:r>
          </w:p>
        </w:tc>
        <w:tc>
          <w:tcPr>
            <w:tcW w:w="850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 </w:t>
            </w:r>
            <w:r w:rsidR="004B0EC5">
              <w:t>2</w:t>
            </w:r>
          </w:p>
        </w:tc>
      </w:tr>
      <w:tr w:rsidR="0063349E" w:rsidRPr="0063349E" w:rsidTr="0063349E">
        <w:trPr>
          <w:trHeight w:val="1485"/>
        </w:trPr>
        <w:tc>
          <w:tcPr>
            <w:tcW w:w="534" w:type="dxa"/>
            <w:vMerge/>
            <w:hideMark/>
          </w:tcPr>
          <w:p w:rsidR="0063349E" w:rsidRPr="0063349E" w:rsidRDefault="0063349E" w:rsidP="0063349E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vMerge/>
            <w:hideMark/>
          </w:tcPr>
          <w:p w:rsidR="0063349E" w:rsidRPr="0063349E" w:rsidRDefault="0063349E" w:rsidP="0063349E">
            <w:pPr>
              <w:jc w:val="both"/>
            </w:pP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 xml:space="preserve">3.    Поддержание и развитие партнерства  в рамках международных сетей и  AFEW </w:t>
            </w:r>
            <w:proofErr w:type="spellStart"/>
            <w:r w:rsidRPr="0063349E">
              <w:t>Network</w:t>
            </w:r>
            <w:proofErr w:type="spellEnd"/>
            <w:r w:rsidRPr="0063349E">
              <w:t>, с целью поиска доноров, обмена опытом и информации;</w:t>
            </w:r>
          </w:p>
        </w:tc>
        <w:tc>
          <w:tcPr>
            <w:tcW w:w="3261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 xml:space="preserve">Существует взаимодействие с партнерами  международных сетей и  AFEW </w:t>
            </w:r>
            <w:proofErr w:type="spellStart"/>
            <w:r w:rsidRPr="0063349E">
              <w:t>Network</w:t>
            </w:r>
            <w:proofErr w:type="spellEnd"/>
            <w:r w:rsidRPr="0063349E">
              <w:t xml:space="preserve"> с целью поиска доноров, обмена опытом и информации</w:t>
            </w:r>
          </w:p>
        </w:tc>
        <w:tc>
          <w:tcPr>
            <w:tcW w:w="3402" w:type="dxa"/>
            <w:hideMark/>
          </w:tcPr>
          <w:p w:rsidR="0063349E" w:rsidRPr="0063349E" w:rsidRDefault="0063349E" w:rsidP="0063349E">
            <w:pPr>
              <w:jc w:val="both"/>
              <w:rPr>
                <w:sz w:val="24"/>
              </w:rPr>
            </w:pPr>
            <w:r w:rsidRPr="0063349E">
              <w:rPr>
                <w:sz w:val="24"/>
              </w:rPr>
              <w:t xml:space="preserve">Количество предложений, совместных проектов начатых и реализуемых в рамках международных сетей и  AFEW </w:t>
            </w:r>
            <w:proofErr w:type="spellStart"/>
            <w:r w:rsidRPr="0063349E">
              <w:rPr>
                <w:sz w:val="24"/>
              </w:rPr>
              <w:t>Network</w:t>
            </w:r>
            <w:proofErr w:type="spellEnd"/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не&lt;1</w:t>
            </w:r>
          </w:p>
        </w:tc>
        <w:tc>
          <w:tcPr>
            <w:tcW w:w="850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 </w:t>
            </w:r>
            <w:r w:rsidR="00D96FB8">
              <w:t>2 (1 успешный)</w:t>
            </w:r>
          </w:p>
        </w:tc>
      </w:tr>
      <w:tr w:rsidR="0063349E" w:rsidRPr="0063349E" w:rsidTr="0063349E">
        <w:trPr>
          <w:trHeight w:val="1710"/>
        </w:trPr>
        <w:tc>
          <w:tcPr>
            <w:tcW w:w="534" w:type="dxa"/>
            <w:vMerge/>
            <w:hideMark/>
          </w:tcPr>
          <w:p w:rsidR="0063349E" w:rsidRPr="0063349E" w:rsidRDefault="0063349E" w:rsidP="0063349E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vMerge/>
            <w:hideMark/>
          </w:tcPr>
          <w:p w:rsidR="0063349E" w:rsidRPr="0063349E" w:rsidRDefault="0063349E" w:rsidP="0063349E">
            <w:pPr>
              <w:jc w:val="both"/>
            </w:pP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4.    Развитие партнерства с государственными организациями и структурами  для формирования устойчивого обмена информацией, продвижения рекомендаций и предложений в области общественного здравоохранения и профилактики социально значимых заболеваний;</w:t>
            </w:r>
          </w:p>
        </w:tc>
        <w:tc>
          <w:tcPr>
            <w:tcW w:w="3261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 xml:space="preserve">Существуют устойчивые партнерские взаимоотношения с государственным сектором по обмену информацией, продвижения рекомендаций. </w:t>
            </w:r>
          </w:p>
        </w:tc>
        <w:tc>
          <w:tcPr>
            <w:tcW w:w="3402" w:type="dxa"/>
            <w:hideMark/>
          </w:tcPr>
          <w:p w:rsidR="0063349E" w:rsidRPr="0063349E" w:rsidRDefault="0063349E" w:rsidP="0063349E">
            <w:pPr>
              <w:jc w:val="both"/>
              <w:rPr>
                <w:sz w:val="24"/>
              </w:rPr>
            </w:pPr>
            <w:r w:rsidRPr="0063349E">
              <w:rPr>
                <w:sz w:val="24"/>
              </w:rPr>
              <w:t xml:space="preserve">Количество </w:t>
            </w:r>
            <w:proofErr w:type="spellStart"/>
            <w:r w:rsidRPr="0063349E">
              <w:rPr>
                <w:sz w:val="24"/>
              </w:rPr>
              <w:t>фасилитированных</w:t>
            </w:r>
            <w:proofErr w:type="spellEnd"/>
            <w:r w:rsidRPr="0063349E">
              <w:rPr>
                <w:sz w:val="24"/>
              </w:rPr>
              <w:t xml:space="preserve"> Фондом совместных мероприятий (круглых столов, рабочих встреч и т.д.) с государственным сектором системы здравоохранения</w:t>
            </w:r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не&lt;2</w:t>
            </w:r>
          </w:p>
        </w:tc>
        <w:tc>
          <w:tcPr>
            <w:tcW w:w="850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2</w:t>
            </w:r>
          </w:p>
        </w:tc>
      </w:tr>
      <w:tr w:rsidR="0063349E" w:rsidRPr="0063349E" w:rsidTr="0063349E">
        <w:trPr>
          <w:trHeight w:val="1425"/>
        </w:trPr>
        <w:tc>
          <w:tcPr>
            <w:tcW w:w="534" w:type="dxa"/>
            <w:vMerge/>
            <w:hideMark/>
          </w:tcPr>
          <w:p w:rsidR="0063349E" w:rsidRPr="0063349E" w:rsidRDefault="0063349E" w:rsidP="0063349E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vMerge/>
            <w:hideMark/>
          </w:tcPr>
          <w:p w:rsidR="0063349E" w:rsidRPr="0063349E" w:rsidRDefault="0063349E" w:rsidP="0063349E">
            <w:pPr>
              <w:jc w:val="both"/>
            </w:pP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5.    Продвижение экспертизы, исследований и аналитики  AFEW через презентации, публикации и распространение среди всех заинтересованных сторон, с целью формирования весомых, признанных решений и рекомендаций;</w:t>
            </w:r>
          </w:p>
        </w:tc>
        <w:tc>
          <w:tcPr>
            <w:tcW w:w="3261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Результаты исследований и оценок  публикуются и презентуются всем заинтересованным сторонам</w:t>
            </w:r>
          </w:p>
        </w:tc>
        <w:tc>
          <w:tcPr>
            <w:tcW w:w="3402" w:type="dxa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Количество публикаций результатов исследований.</w:t>
            </w:r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не&lt;2</w:t>
            </w:r>
          </w:p>
        </w:tc>
        <w:tc>
          <w:tcPr>
            <w:tcW w:w="850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 </w:t>
            </w:r>
            <w:r w:rsidR="00D96FB8">
              <w:t>1</w:t>
            </w:r>
          </w:p>
        </w:tc>
      </w:tr>
      <w:tr w:rsidR="0063349E" w:rsidRPr="0063349E" w:rsidTr="0063349E">
        <w:trPr>
          <w:trHeight w:val="1425"/>
        </w:trPr>
        <w:tc>
          <w:tcPr>
            <w:tcW w:w="534" w:type="dxa"/>
            <w:vMerge/>
            <w:hideMark/>
          </w:tcPr>
          <w:p w:rsidR="0063349E" w:rsidRPr="0063349E" w:rsidRDefault="0063349E" w:rsidP="0063349E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vMerge/>
            <w:hideMark/>
          </w:tcPr>
          <w:p w:rsidR="0063349E" w:rsidRPr="0063349E" w:rsidRDefault="0063349E" w:rsidP="0063349E">
            <w:pPr>
              <w:jc w:val="both"/>
            </w:pP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6.    Вовлечение в  разработку и продвижение рекомендаций в области общественного здравоохранения и профилактики социально значимых заболеваний представителей органов местного самоуправления и депутатов ЖК;</w:t>
            </w:r>
          </w:p>
        </w:tc>
        <w:tc>
          <w:tcPr>
            <w:tcW w:w="3261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 xml:space="preserve">Органы МСУ и ЖК </w:t>
            </w:r>
            <w:proofErr w:type="gramStart"/>
            <w:r w:rsidRPr="0063349E">
              <w:t>КР</w:t>
            </w:r>
            <w:proofErr w:type="gramEnd"/>
            <w:r w:rsidRPr="0063349E">
              <w:t xml:space="preserve"> активно </w:t>
            </w:r>
            <w:proofErr w:type="spellStart"/>
            <w:r w:rsidRPr="0063349E">
              <w:t>учавствуют</w:t>
            </w:r>
            <w:proofErr w:type="spellEnd"/>
            <w:r w:rsidRPr="0063349E">
              <w:t xml:space="preserve"> в обсуждениях рекомендаций в области общественного здравоохранения</w:t>
            </w:r>
          </w:p>
        </w:tc>
        <w:tc>
          <w:tcPr>
            <w:tcW w:w="3402" w:type="dxa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 xml:space="preserve">Количество совместных мероприятий (круглых столов, рабочих встреч и т.д.) и проектов с участием МСУ и ЖК </w:t>
            </w:r>
            <w:proofErr w:type="spellStart"/>
            <w:r w:rsidRPr="0063349E">
              <w:t>КРсистемы</w:t>
            </w:r>
            <w:proofErr w:type="spellEnd"/>
            <w:r w:rsidRPr="0063349E">
              <w:t xml:space="preserve"> здравоохранения</w:t>
            </w:r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не&lt;1</w:t>
            </w:r>
          </w:p>
        </w:tc>
        <w:tc>
          <w:tcPr>
            <w:tcW w:w="850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 </w:t>
            </w:r>
            <w:r w:rsidR="00D96FB8">
              <w:t>2</w:t>
            </w:r>
          </w:p>
        </w:tc>
      </w:tr>
      <w:tr w:rsidR="0063349E" w:rsidRPr="0063349E" w:rsidTr="0063349E">
        <w:trPr>
          <w:trHeight w:val="2913"/>
        </w:trPr>
        <w:tc>
          <w:tcPr>
            <w:tcW w:w="534" w:type="dxa"/>
            <w:vMerge/>
            <w:hideMark/>
          </w:tcPr>
          <w:p w:rsidR="0063349E" w:rsidRPr="0063349E" w:rsidRDefault="0063349E" w:rsidP="0063349E">
            <w:pPr>
              <w:jc w:val="both"/>
              <w:rPr>
                <w:b/>
                <w:bCs/>
              </w:rPr>
            </w:pPr>
          </w:p>
        </w:tc>
        <w:tc>
          <w:tcPr>
            <w:tcW w:w="2976" w:type="dxa"/>
            <w:vMerge/>
            <w:hideMark/>
          </w:tcPr>
          <w:p w:rsidR="0063349E" w:rsidRPr="0063349E" w:rsidRDefault="0063349E" w:rsidP="0063349E">
            <w:pPr>
              <w:jc w:val="both"/>
            </w:pPr>
          </w:p>
        </w:tc>
        <w:tc>
          <w:tcPr>
            <w:tcW w:w="3402" w:type="dxa"/>
            <w:noWrap/>
            <w:hideMark/>
          </w:tcPr>
          <w:p w:rsidR="0063349E" w:rsidRPr="0063349E" w:rsidRDefault="0063349E">
            <w:pPr>
              <w:jc w:val="both"/>
            </w:pPr>
            <w:r w:rsidRPr="0063349E">
              <w:t>7.  Формирование электронной базы потенциальных  донорских организаций, имеющих ресурсы и стратегические цели  поддерживать программы профилактики.</w:t>
            </w:r>
          </w:p>
        </w:tc>
        <w:tc>
          <w:tcPr>
            <w:tcW w:w="3261" w:type="dxa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Наличие электронной базы потенциальных  донорских организаций, имеющих ресурсы и стратегические цели  поддерживать программы профилактики.</w:t>
            </w:r>
          </w:p>
        </w:tc>
        <w:tc>
          <w:tcPr>
            <w:tcW w:w="3402" w:type="dxa"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Наличие электронной базы потенциальных  донорских организаций, имеющих ресурсы и стратегические цели  поддерживать программы профилактики.</w:t>
            </w:r>
          </w:p>
        </w:tc>
        <w:tc>
          <w:tcPr>
            <w:tcW w:w="992" w:type="dxa"/>
            <w:noWrap/>
            <w:hideMark/>
          </w:tcPr>
          <w:p w:rsidR="0063349E" w:rsidRPr="0063349E" w:rsidRDefault="0063349E" w:rsidP="0063349E">
            <w:pPr>
              <w:jc w:val="both"/>
            </w:pPr>
            <w:r w:rsidRPr="0063349E">
              <w:t>1</w:t>
            </w:r>
          </w:p>
        </w:tc>
        <w:tc>
          <w:tcPr>
            <w:tcW w:w="850" w:type="dxa"/>
            <w:noWrap/>
            <w:hideMark/>
          </w:tcPr>
          <w:p w:rsidR="0063349E" w:rsidRPr="00EB5D9B" w:rsidRDefault="004B0EC5" w:rsidP="0063349E">
            <w:pPr>
              <w:jc w:val="both"/>
            </w:pPr>
            <w:r>
              <w:t xml:space="preserve">1 </w:t>
            </w:r>
            <w:proofErr w:type="spellStart"/>
            <w:r>
              <w:t>кв</w:t>
            </w:r>
            <w:proofErr w:type="spellEnd"/>
            <w:r>
              <w:t xml:space="preserve"> 2015</w:t>
            </w:r>
          </w:p>
        </w:tc>
      </w:tr>
    </w:tbl>
    <w:p w:rsidR="00FD1E61" w:rsidRDefault="0063349E" w:rsidP="0063349E">
      <w:pPr>
        <w:tabs>
          <w:tab w:val="left" w:pos="14317"/>
        </w:tabs>
        <w:jc w:val="both"/>
      </w:pPr>
      <w:r>
        <w:fldChar w:fldCharType="end"/>
      </w:r>
      <w:r w:rsidR="00FD1E61">
        <w:fldChar w:fldCharType="begin"/>
      </w:r>
      <w:r w:rsidR="00FD1E61">
        <w:instrText xml:space="preserve"> LINK </w:instrText>
      </w:r>
      <w:r w:rsidR="002A477D">
        <w:instrText xml:space="preserve">Excel.Sheet.12 "C:\\Users\\User\\Desktop\\МиО AFEW\\PMP AFEW  - 2014.xlsx" управление!R5C2:R14C8 </w:instrText>
      </w:r>
      <w:r w:rsidR="00FD1E61">
        <w:instrText xml:space="preserve">\a \f 5 \h  \* MERGEFORMAT </w:instrText>
      </w:r>
      <w:r w:rsidR="00FD1E61">
        <w:fldChar w:fldCharType="separate"/>
      </w:r>
    </w:p>
    <w:tbl>
      <w:tblPr>
        <w:tblStyle w:val="a6"/>
        <w:tblW w:w="15484" w:type="dxa"/>
        <w:tblLayout w:type="fixed"/>
        <w:tblLook w:val="04A0" w:firstRow="1" w:lastRow="0" w:firstColumn="1" w:lastColumn="0" w:noHBand="0" w:noVBand="1"/>
      </w:tblPr>
      <w:tblGrid>
        <w:gridCol w:w="740"/>
        <w:gridCol w:w="2629"/>
        <w:gridCol w:w="3969"/>
        <w:gridCol w:w="2977"/>
        <w:gridCol w:w="3401"/>
        <w:gridCol w:w="900"/>
        <w:gridCol w:w="868"/>
      </w:tblGrid>
      <w:tr w:rsidR="00FD1E61" w:rsidRPr="00FD1E61" w:rsidTr="00830E55">
        <w:trPr>
          <w:trHeight w:val="315"/>
        </w:trPr>
        <w:tc>
          <w:tcPr>
            <w:tcW w:w="74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 </w:t>
            </w:r>
          </w:p>
        </w:tc>
        <w:tc>
          <w:tcPr>
            <w:tcW w:w="262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  <w:r w:rsidRPr="00FD1E61">
              <w:rPr>
                <w:b/>
                <w:bCs/>
              </w:rPr>
              <w:t>Описание цели</w:t>
            </w: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  <w:r w:rsidRPr="00FD1E61">
              <w:rPr>
                <w:b/>
                <w:bCs/>
              </w:rPr>
              <w:t>Задачи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  <w:r w:rsidRPr="00FD1E61">
              <w:rPr>
                <w:b/>
                <w:bCs/>
              </w:rPr>
              <w:t>Ожидаемый результат</w:t>
            </w:r>
          </w:p>
        </w:tc>
        <w:tc>
          <w:tcPr>
            <w:tcW w:w="3401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  <w:r w:rsidRPr="00FD1E61">
              <w:rPr>
                <w:b/>
                <w:bCs/>
              </w:rPr>
              <w:t>Индикатор</w:t>
            </w:r>
          </w:p>
        </w:tc>
        <w:tc>
          <w:tcPr>
            <w:tcW w:w="900" w:type="dxa"/>
            <w:noWrap/>
            <w:hideMark/>
          </w:tcPr>
          <w:p w:rsidR="00FD1E61" w:rsidRPr="00E60055" w:rsidRDefault="00FD1E61" w:rsidP="00FD1E61">
            <w:pPr>
              <w:tabs>
                <w:tab w:val="left" w:pos="14317"/>
              </w:tabs>
              <w:jc w:val="both"/>
              <w:rPr>
                <w:b/>
              </w:rPr>
            </w:pPr>
            <w:r w:rsidRPr="00E60055">
              <w:rPr>
                <w:b/>
              </w:rPr>
              <w:t>2014</w:t>
            </w:r>
          </w:p>
        </w:tc>
        <w:tc>
          <w:tcPr>
            <w:tcW w:w="868" w:type="dxa"/>
            <w:noWrap/>
            <w:hideMark/>
          </w:tcPr>
          <w:p w:rsidR="00FD1E61" w:rsidRPr="00E60055" w:rsidRDefault="00FD1E61" w:rsidP="00FD1E61">
            <w:pPr>
              <w:tabs>
                <w:tab w:val="left" w:pos="14317"/>
              </w:tabs>
              <w:jc w:val="both"/>
              <w:rPr>
                <w:b/>
              </w:rPr>
            </w:pPr>
            <w:r w:rsidRPr="00E60055">
              <w:rPr>
                <w:b/>
              </w:rPr>
              <w:t> </w:t>
            </w:r>
            <w:r w:rsidR="00E60055" w:rsidRPr="00E60055">
              <w:rPr>
                <w:b/>
              </w:rPr>
              <w:t>факт</w:t>
            </w:r>
          </w:p>
        </w:tc>
      </w:tr>
      <w:tr w:rsidR="00FD1E61" w:rsidRPr="00FD1E61" w:rsidTr="00830E55">
        <w:trPr>
          <w:trHeight w:val="1575"/>
        </w:trPr>
        <w:tc>
          <w:tcPr>
            <w:tcW w:w="740" w:type="dxa"/>
            <w:vMerge w:val="restart"/>
            <w:noWrap/>
            <w:textDirection w:val="btLr"/>
            <w:hideMark/>
          </w:tcPr>
          <w:p w:rsidR="00FD1E61" w:rsidRPr="00FD1E61" w:rsidRDefault="00FD1E61" w:rsidP="00830E55">
            <w:pPr>
              <w:tabs>
                <w:tab w:val="left" w:pos="14317"/>
              </w:tabs>
              <w:jc w:val="center"/>
              <w:rPr>
                <w:b/>
                <w:bCs/>
              </w:rPr>
            </w:pPr>
            <w:r w:rsidRPr="00FD1E61">
              <w:rPr>
                <w:b/>
                <w:bCs/>
              </w:rPr>
              <w:t>Внутреннее развитие УЧР</w:t>
            </w:r>
          </w:p>
        </w:tc>
        <w:tc>
          <w:tcPr>
            <w:tcW w:w="2629" w:type="dxa"/>
            <w:vMerge w:val="restart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Качественная реализация программ и проектов Фонда осуществляется штатными сотрудниками  </w:t>
            </w:r>
            <w:r w:rsidRPr="00FD1E61">
              <w:lastRenderedPageBreak/>
              <w:t xml:space="preserve">и экспертами организации - командой единомышленников, которая мотивирована конкурентоспособной заработной платой, системой бонусов и поощрений, профессиональным ростом и обучением, обменом опыта и комфортными условиями труда. </w:t>
            </w: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lastRenderedPageBreak/>
              <w:t>Создание условий для профессионального роста сотрудников через систему обучения и повышения квалификации по направлениям и департаментам;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Создана команда внутренних экспертов через непрерывную систему повышения квалификации и потенциала сотрудников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%сотрудников, участвующих на тренингах и семинарах не менее 2 раза в год, с последующим применением знаний и навыков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не&lt;80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94%</w:t>
            </w:r>
          </w:p>
        </w:tc>
      </w:tr>
      <w:tr w:rsidR="00FD1E61" w:rsidRPr="00FD1E61" w:rsidTr="00830E55">
        <w:trPr>
          <w:trHeight w:val="1560"/>
        </w:trPr>
        <w:tc>
          <w:tcPr>
            <w:tcW w:w="740" w:type="dxa"/>
            <w:vMerge/>
            <w:hideMark/>
          </w:tcPr>
          <w:p w:rsidR="00FD1E61" w:rsidRPr="00FD1E61" w:rsidRDefault="00FD1E61" w:rsidP="00830E55">
            <w:pPr>
              <w:tabs>
                <w:tab w:val="left" w:pos="14317"/>
              </w:tabs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Развитие системы </w:t>
            </w:r>
            <w:proofErr w:type="gramStart"/>
            <w:r w:rsidRPr="00FD1E61">
              <w:t>контроля за</w:t>
            </w:r>
            <w:proofErr w:type="gramEnd"/>
            <w:r w:rsidRPr="00FD1E61">
              <w:t xml:space="preserve"> соблюдением  процедур и политик в области управления человеческими ресурсами;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Руководство персоналом разработано и контролируется через проведение внутреннего аудита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Результаты внутреннего аудита</w:t>
            </w:r>
            <w:r w:rsidR="00732F2C">
              <w:t>. Разработан и реализуется план по наращиванию потенциала</w:t>
            </w:r>
            <w:r w:rsidRPr="00FD1E61">
              <w:t xml:space="preserve"> 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1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1</w:t>
            </w:r>
          </w:p>
        </w:tc>
      </w:tr>
      <w:tr w:rsidR="00FD1E61" w:rsidRPr="00FD1E61" w:rsidTr="00830E55">
        <w:trPr>
          <w:trHeight w:val="1995"/>
        </w:trPr>
        <w:tc>
          <w:tcPr>
            <w:tcW w:w="740" w:type="dxa"/>
            <w:vMerge/>
            <w:hideMark/>
          </w:tcPr>
          <w:p w:rsidR="00FD1E61" w:rsidRPr="00FD1E61" w:rsidRDefault="00FD1E61" w:rsidP="00830E55">
            <w:pPr>
              <w:tabs>
                <w:tab w:val="left" w:pos="14317"/>
              </w:tabs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Развитие ресурсной базы организации, в том числе  современной офисной техники и программного обеспечения, гарантирующего непрерывное и эффективное взаимодействие и обмен информацией внутри команды  и с внешней средой;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МТБ организации соответствует всем нормам и стандартам и содержит современную орг. технику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% сотрудников, обеспеченных индивидуальным рабочим местом с компьютерной техникой 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100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94%</w:t>
            </w:r>
          </w:p>
        </w:tc>
      </w:tr>
      <w:tr w:rsidR="00FD1E61" w:rsidRPr="00FD1E61" w:rsidTr="00830E55">
        <w:trPr>
          <w:trHeight w:val="1425"/>
        </w:trPr>
        <w:tc>
          <w:tcPr>
            <w:tcW w:w="740" w:type="dxa"/>
            <w:vMerge/>
            <w:hideMark/>
          </w:tcPr>
          <w:p w:rsidR="00FD1E61" w:rsidRPr="00FD1E61" w:rsidRDefault="00FD1E61" w:rsidP="00830E55">
            <w:pPr>
              <w:tabs>
                <w:tab w:val="left" w:pos="14317"/>
              </w:tabs>
              <w:jc w:val="center"/>
              <w:rPr>
                <w:b/>
                <w:bCs/>
              </w:rPr>
            </w:pPr>
          </w:p>
        </w:tc>
        <w:tc>
          <w:tcPr>
            <w:tcW w:w="2629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Формирование команды волонтеров организации, активных, инициативных, разделяющих миссию, ценности организации, способствующие достижению стратегических целей.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Существует непрерывный процесс привлечения  волонтеров (</w:t>
            </w:r>
            <w:proofErr w:type="spellStart"/>
            <w:r w:rsidRPr="00FD1E61">
              <w:t>завки</w:t>
            </w:r>
            <w:proofErr w:type="spellEnd"/>
            <w:r w:rsidRPr="00FD1E61">
              <w:t xml:space="preserve"> менеджеров, договора с ВУЗ о сотрудничестве) 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Количество волонтеров, работающих в организации на общественных началах, приверженных миссии и ценностям Фонда 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не&lt;2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2</w:t>
            </w:r>
          </w:p>
        </w:tc>
      </w:tr>
      <w:tr w:rsidR="00FD1E61" w:rsidRPr="00FD1E61" w:rsidTr="00830E55">
        <w:trPr>
          <w:trHeight w:val="1275"/>
        </w:trPr>
        <w:tc>
          <w:tcPr>
            <w:tcW w:w="740" w:type="dxa"/>
            <w:vMerge w:val="restart"/>
            <w:noWrap/>
            <w:textDirection w:val="btLr"/>
            <w:hideMark/>
          </w:tcPr>
          <w:p w:rsidR="00FD1E61" w:rsidRPr="00FD1E61" w:rsidRDefault="00FD1E61" w:rsidP="00830E55">
            <w:pPr>
              <w:tabs>
                <w:tab w:val="left" w:pos="14317"/>
              </w:tabs>
              <w:jc w:val="center"/>
              <w:rPr>
                <w:b/>
                <w:bCs/>
              </w:rPr>
            </w:pPr>
            <w:r w:rsidRPr="00FD1E61">
              <w:rPr>
                <w:b/>
                <w:bCs/>
              </w:rPr>
              <w:t xml:space="preserve">Финансовое управление и </w:t>
            </w:r>
            <w:proofErr w:type="spellStart"/>
            <w:r w:rsidRPr="00FD1E61">
              <w:rPr>
                <w:b/>
                <w:bCs/>
              </w:rPr>
              <w:t>фандрейзинг</w:t>
            </w:r>
            <w:proofErr w:type="spellEnd"/>
          </w:p>
        </w:tc>
        <w:tc>
          <w:tcPr>
            <w:tcW w:w="2629" w:type="dxa"/>
            <w:vMerge w:val="restart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Устойчивая деятельность Фонда поддерживается из нескольких источников финансирования, включая государственный заказ,  международные гранты и коммерческие услуги, а финансовый департамент гарантирует и обеспечивает эффективное и </w:t>
            </w:r>
            <w:r w:rsidRPr="00FD1E61">
              <w:lastRenderedPageBreak/>
              <w:t>прозрачное управление ресурсами и средствами организации, что повышает доверие доноров и партнеров.</w:t>
            </w: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lastRenderedPageBreak/>
              <w:t xml:space="preserve">Разработка плана </w:t>
            </w:r>
            <w:proofErr w:type="spellStart"/>
            <w:r w:rsidRPr="00FD1E61">
              <w:t>фандрейзинга</w:t>
            </w:r>
            <w:proofErr w:type="spellEnd"/>
            <w:r w:rsidRPr="00FD1E61">
              <w:t>, позволяющих рассмотреть все возможности по привлечению  ресурсов из различных источников;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Существует план привлечения дополнительных сре</w:t>
            </w:r>
            <w:proofErr w:type="gramStart"/>
            <w:r w:rsidRPr="00FD1E61">
              <w:t>дств в Ф</w:t>
            </w:r>
            <w:proofErr w:type="gramEnd"/>
            <w:r w:rsidRPr="00FD1E61">
              <w:t>онд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Количество источников финансирования Фонда.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не&lt;3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6</w:t>
            </w:r>
          </w:p>
        </w:tc>
      </w:tr>
      <w:tr w:rsidR="00FD1E61" w:rsidRPr="00FD1E61" w:rsidTr="00830E55">
        <w:trPr>
          <w:trHeight w:val="1140"/>
        </w:trPr>
        <w:tc>
          <w:tcPr>
            <w:tcW w:w="740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</w:p>
        </w:tc>
        <w:tc>
          <w:tcPr>
            <w:tcW w:w="2629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Повышение потенциала финансового департамента, включая обучение персонала и внедрение современных электронных баз и систем учета;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Все сотрудники </w:t>
            </w:r>
            <w:proofErr w:type="spellStart"/>
            <w:r w:rsidRPr="00FD1E61">
              <w:t>фин</w:t>
            </w:r>
            <w:proofErr w:type="gramStart"/>
            <w:r w:rsidRPr="00FD1E61">
              <w:t>.о</w:t>
            </w:r>
            <w:proofErr w:type="gramEnd"/>
            <w:r w:rsidRPr="00FD1E61">
              <w:t>тдела</w:t>
            </w:r>
            <w:proofErr w:type="spellEnd"/>
            <w:r w:rsidRPr="00FD1E61">
              <w:t xml:space="preserve"> владеют навыками ведения современного учета 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% сотрудников фин. департамента, </w:t>
            </w:r>
            <w:proofErr w:type="gramStart"/>
            <w:r w:rsidRPr="00FD1E61">
              <w:t>владеющие</w:t>
            </w:r>
            <w:proofErr w:type="gramEnd"/>
            <w:r w:rsidRPr="00FD1E61">
              <w:t xml:space="preserve"> навыками современных систем учета 1C. 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100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100</w:t>
            </w:r>
          </w:p>
        </w:tc>
      </w:tr>
      <w:tr w:rsidR="00FD1E61" w:rsidRPr="00FD1E61" w:rsidTr="00830E55">
        <w:trPr>
          <w:trHeight w:val="1275"/>
        </w:trPr>
        <w:tc>
          <w:tcPr>
            <w:tcW w:w="740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</w:p>
        </w:tc>
        <w:tc>
          <w:tcPr>
            <w:tcW w:w="2629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Разработка проектных предложений, привлекательных для прямых  доноров, формирование «копилки» проектов с участием партнеров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Существует резерв проектных предложений 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Количество проектных предложений в год, находящихся на рассмотрении у доноров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4</w:t>
            </w:r>
          </w:p>
        </w:tc>
        <w:tc>
          <w:tcPr>
            <w:tcW w:w="868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9 (успешные 4)</w:t>
            </w:r>
          </w:p>
        </w:tc>
      </w:tr>
      <w:tr w:rsidR="00FD1E61" w:rsidRPr="00FD1E61" w:rsidTr="00830E55">
        <w:trPr>
          <w:trHeight w:val="2280"/>
        </w:trPr>
        <w:tc>
          <w:tcPr>
            <w:tcW w:w="740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</w:p>
        </w:tc>
        <w:tc>
          <w:tcPr>
            <w:tcW w:w="2629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Обеспечение постоянного притока финансовых средств через предоставление коммерческих услуг: исследований, консалтинговых услуг, услуг по обучению и повышению квалификации, разработке инструментов мониторинга и оценки, разработке ИОМ, дизайну проектов и др.; </w:t>
            </w:r>
          </w:p>
        </w:tc>
        <w:tc>
          <w:tcPr>
            <w:tcW w:w="2977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Развита система предоставления коммерческих услуг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Доля вклада от исследовательских услуг в общий бюджет Фонда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не&lt;3%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2%</w:t>
            </w:r>
          </w:p>
        </w:tc>
      </w:tr>
      <w:tr w:rsidR="00FD1E61" w:rsidRPr="00FD1E61" w:rsidTr="00830E55">
        <w:trPr>
          <w:trHeight w:val="945"/>
        </w:trPr>
        <w:tc>
          <w:tcPr>
            <w:tcW w:w="740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  <w:rPr>
                <w:b/>
                <w:bCs/>
              </w:rPr>
            </w:pPr>
          </w:p>
        </w:tc>
        <w:tc>
          <w:tcPr>
            <w:tcW w:w="2629" w:type="dxa"/>
            <w:vMerge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</w:p>
        </w:tc>
        <w:tc>
          <w:tcPr>
            <w:tcW w:w="3969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Публикация программного и финансового отчета организации;</w:t>
            </w:r>
          </w:p>
        </w:tc>
        <w:tc>
          <w:tcPr>
            <w:tcW w:w="2977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наличие опубликованного ежегодного программного и финансового отчета</w:t>
            </w:r>
          </w:p>
        </w:tc>
        <w:tc>
          <w:tcPr>
            <w:tcW w:w="3401" w:type="dxa"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Наличие опубликованного ежегодного программного и финансового отчета</w:t>
            </w:r>
          </w:p>
        </w:tc>
        <w:tc>
          <w:tcPr>
            <w:tcW w:w="900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>1</w:t>
            </w:r>
          </w:p>
        </w:tc>
        <w:tc>
          <w:tcPr>
            <w:tcW w:w="868" w:type="dxa"/>
            <w:noWrap/>
            <w:hideMark/>
          </w:tcPr>
          <w:p w:rsidR="00FD1E61" w:rsidRPr="00FD1E61" w:rsidRDefault="00FD1E61" w:rsidP="00FD1E61">
            <w:pPr>
              <w:tabs>
                <w:tab w:val="left" w:pos="14317"/>
              </w:tabs>
              <w:jc w:val="both"/>
            </w:pPr>
            <w:r w:rsidRPr="00FD1E61">
              <w:t xml:space="preserve">1 </w:t>
            </w:r>
            <w:proofErr w:type="spellStart"/>
            <w:r w:rsidRPr="00FD1E61">
              <w:t>кв</w:t>
            </w:r>
            <w:proofErr w:type="spellEnd"/>
            <w:r w:rsidRPr="00FD1E61">
              <w:t xml:space="preserve"> 2015</w:t>
            </w:r>
          </w:p>
        </w:tc>
      </w:tr>
    </w:tbl>
    <w:p w:rsidR="00627513" w:rsidRPr="00DE174C" w:rsidRDefault="00FD1E61" w:rsidP="002A477D">
      <w:pPr>
        <w:tabs>
          <w:tab w:val="left" w:pos="14317"/>
        </w:tabs>
        <w:spacing w:after="0"/>
        <w:jc w:val="both"/>
      </w:pPr>
      <w:r>
        <w:fldChar w:fldCharType="end"/>
      </w:r>
      <w:r w:rsidR="00E20DCA" w:rsidRPr="00DE174C">
        <w:t xml:space="preserve"> </w:t>
      </w:r>
    </w:p>
    <w:p w:rsidR="00606C52" w:rsidRPr="00EE79F5" w:rsidRDefault="008733E9" w:rsidP="00606C52">
      <w:pPr>
        <w:tabs>
          <w:tab w:val="left" w:pos="14317"/>
        </w:tabs>
        <w:jc w:val="both"/>
        <w:rPr>
          <w:rFonts w:ascii="Times New Roman" w:hAnsi="Times New Roman" w:cs="Times New Roman"/>
          <w:sz w:val="32"/>
        </w:rPr>
      </w:pPr>
      <w:r>
        <w:t xml:space="preserve"> </w:t>
      </w:r>
      <w:r w:rsidR="00561C8E" w:rsidRPr="00EE79F5">
        <w:rPr>
          <w:rFonts w:ascii="Times New Roman" w:hAnsi="Times New Roman" w:cs="Times New Roman"/>
          <w:b/>
          <w:sz w:val="32"/>
        </w:rPr>
        <w:t>Итоговые показатели года</w:t>
      </w:r>
      <w:r w:rsidR="00606C52" w:rsidRPr="00EE79F5">
        <w:rPr>
          <w:rFonts w:ascii="Times New Roman" w:hAnsi="Times New Roman" w:cs="Times New Roman"/>
          <w:sz w:val="32"/>
        </w:rPr>
        <w:t>:</w:t>
      </w:r>
    </w:p>
    <w:p w:rsidR="00D856C6" w:rsidRPr="00EE79F5" w:rsidRDefault="00E81E7A" w:rsidP="00D856C6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 xml:space="preserve">Охвачено 20 % ПИН </w:t>
      </w:r>
      <w:r w:rsidR="004E5602">
        <w:rPr>
          <w:rFonts w:ascii="Times New Roman" w:hAnsi="Times New Roman" w:cs="Times New Roman"/>
          <w:sz w:val="28"/>
        </w:rPr>
        <w:t>от</w:t>
      </w:r>
      <w:r w:rsidRPr="00EE79F5">
        <w:rPr>
          <w:rFonts w:ascii="Times New Roman" w:hAnsi="Times New Roman" w:cs="Times New Roman"/>
          <w:sz w:val="28"/>
        </w:rPr>
        <w:t xml:space="preserve"> оценочного числа</w:t>
      </w:r>
      <w:r w:rsidR="00D856C6">
        <w:rPr>
          <w:rFonts w:ascii="Times New Roman" w:hAnsi="Times New Roman" w:cs="Times New Roman"/>
          <w:sz w:val="28"/>
        </w:rPr>
        <w:t xml:space="preserve">, в том числе </w:t>
      </w:r>
      <w:r w:rsidR="00D856C6">
        <w:rPr>
          <w:rFonts w:ascii="Times New Roman" w:hAnsi="Times New Roman" w:cs="Times New Roman"/>
          <w:sz w:val="28"/>
        </w:rPr>
        <w:t xml:space="preserve">27% </w:t>
      </w:r>
      <w:r w:rsidR="004E5602">
        <w:rPr>
          <w:rFonts w:ascii="Times New Roman" w:hAnsi="Times New Roman" w:cs="Times New Roman"/>
          <w:sz w:val="28"/>
        </w:rPr>
        <w:t xml:space="preserve">- </w:t>
      </w:r>
      <w:r w:rsidR="00D856C6">
        <w:rPr>
          <w:rFonts w:ascii="Times New Roman" w:hAnsi="Times New Roman" w:cs="Times New Roman"/>
          <w:sz w:val="28"/>
        </w:rPr>
        <w:t>женщины</w:t>
      </w:r>
      <w:r w:rsidR="004E5602">
        <w:rPr>
          <w:rFonts w:ascii="Times New Roman" w:hAnsi="Times New Roman" w:cs="Times New Roman"/>
          <w:sz w:val="28"/>
        </w:rPr>
        <w:t>, 9,1% - лица моложе 25 лет</w:t>
      </w:r>
      <w:r w:rsidR="00D856C6">
        <w:rPr>
          <w:rFonts w:ascii="Times New Roman" w:hAnsi="Times New Roman" w:cs="Times New Roman"/>
          <w:sz w:val="28"/>
        </w:rPr>
        <w:t xml:space="preserve"> </w:t>
      </w:r>
    </w:p>
    <w:p w:rsidR="007F53F7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 xml:space="preserve">10% </w:t>
      </w:r>
      <w:r w:rsidR="001C3290">
        <w:rPr>
          <w:rFonts w:ascii="Times New Roman" w:hAnsi="Times New Roman" w:cs="Times New Roman"/>
          <w:sz w:val="28"/>
        </w:rPr>
        <w:t>-</w:t>
      </w:r>
      <w:r w:rsidRPr="00EE79F5">
        <w:rPr>
          <w:rFonts w:ascii="Times New Roman" w:hAnsi="Times New Roman" w:cs="Times New Roman"/>
          <w:sz w:val="28"/>
        </w:rPr>
        <w:t xml:space="preserve">программой социального сопровождения </w:t>
      </w:r>
      <w:r w:rsidR="001C3290">
        <w:rPr>
          <w:rFonts w:ascii="Times New Roman" w:hAnsi="Times New Roman" w:cs="Times New Roman"/>
          <w:sz w:val="28"/>
        </w:rPr>
        <w:t>от</w:t>
      </w:r>
      <w:r w:rsidRPr="00EE79F5">
        <w:rPr>
          <w:rFonts w:ascii="Times New Roman" w:hAnsi="Times New Roman" w:cs="Times New Roman"/>
          <w:sz w:val="28"/>
        </w:rPr>
        <w:t xml:space="preserve"> оценочного числа</w:t>
      </w:r>
      <w:r>
        <w:rPr>
          <w:rFonts w:ascii="Times New Roman" w:hAnsi="Times New Roman" w:cs="Times New Roman"/>
          <w:sz w:val="28"/>
        </w:rPr>
        <w:t>,</w:t>
      </w:r>
    </w:p>
    <w:p w:rsidR="00C2111A" w:rsidRDefault="00C2111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51,7% </w:t>
      </w:r>
      <w:proofErr w:type="gramStart"/>
      <w:r>
        <w:rPr>
          <w:rFonts w:ascii="Times New Roman" w:hAnsi="Times New Roman" w:cs="Times New Roman"/>
          <w:sz w:val="28"/>
        </w:rPr>
        <w:t>охваченных</w:t>
      </w:r>
      <w:proofErr w:type="gramEnd"/>
      <w:r>
        <w:rPr>
          <w:rFonts w:ascii="Times New Roman" w:hAnsi="Times New Roman" w:cs="Times New Roman"/>
          <w:sz w:val="28"/>
        </w:rPr>
        <w:t xml:space="preserve"> ПИН являются новыми клиентами,</w:t>
      </w:r>
    </w:p>
    <w:p w:rsidR="007F53F7" w:rsidRPr="00EE79F5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>55,6% ЛЖВ/ПИН в программе принимают АРВ терапию</w:t>
      </w:r>
      <w:r>
        <w:rPr>
          <w:rFonts w:ascii="Times New Roman" w:hAnsi="Times New Roman" w:cs="Times New Roman"/>
          <w:sz w:val="28"/>
        </w:rPr>
        <w:t>,</w:t>
      </w:r>
    </w:p>
    <w:p w:rsidR="007F53F7" w:rsidRPr="00EE79F5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 xml:space="preserve">67 осужденных из 6 ИУ, </w:t>
      </w:r>
      <w:proofErr w:type="gramStart"/>
      <w:r w:rsidRPr="00EE79F5">
        <w:rPr>
          <w:rFonts w:ascii="Times New Roman" w:hAnsi="Times New Roman" w:cs="Times New Roman"/>
          <w:sz w:val="28"/>
        </w:rPr>
        <w:t>охвачены</w:t>
      </w:r>
      <w:proofErr w:type="gramEnd"/>
      <w:r w:rsidRPr="00EE79F5">
        <w:rPr>
          <w:rFonts w:ascii="Times New Roman" w:hAnsi="Times New Roman" w:cs="Times New Roman"/>
          <w:sz w:val="28"/>
        </w:rPr>
        <w:t xml:space="preserve"> программой Старт +</w:t>
      </w:r>
      <w:r>
        <w:rPr>
          <w:rFonts w:ascii="Times New Roman" w:hAnsi="Times New Roman" w:cs="Times New Roman"/>
          <w:sz w:val="28"/>
        </w:rPr>
        <w:t>,</w:t>
      </w:r>
    </w:p>
    <w:p w:rsidR="007F53F7" w:rsidRPr="00EE79F5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 xml:space="preserve">99% пациентов ТБ, получающих лечение по </w:t>
      </w:r>
      <w:r w:rsidRPr="00EE79F5">
        <w:rPr>
          <w:rFonts w:ascii="Times New Roman" w:hAnsi="Times New Roman" w:cs="Times New Roman"/>
          <w:sz w:val="28"/>
          <w:lang w:val="en-US"/>
        </w:rPr>
        <w:t>DOTS</w:t>
      </w:r>
      <w:r w:rsidRPr="00EE79F5">
        <w:rPr>
          <w:rFonts w:ascii="Times New Roman" w:hAnsi="Times New Roman" w:cs="Times New Roman"/>
          <w:sz w:val="28"/>
        </w:rPr>
        <w:t xml:space="preserve"> программе</w:t>
      </w:r>
      <w:r w:rsidR="00194601">
        <w:rPr>
          <w:rFonts w:ascii="Times New Roman" w:hAnsi="Times New Roman" w:cs="Times New Roman"/>
          <w:sz w:val="28"/>
        </w:rPr>
        <w:t>,</w:t>
      </w:r>
      <w:r w:rsidRPr="00EE79F5">
        <w:rPr>
          <w:rFonts w:ascii="Times New Roman" w:hAnsi="Times New Roman" w:cs="Times New Roman"/>
          <w:sz w:val="28"/>
        </w:rPr>
        <w:t xml:space="preserve"> завершают лечение (данные могут не совпадать с НТП)</w:t>
      </w:r>
      <w:r>
        <w:rPr>
          <w:rFonts w:ascii="Times New Roman" w:hAnsi="Times New Roman" w:cs="Times New Roman"/>
          <w:sz w:val="28"/>
        </w:rPr>
        <w:t>,</w:t>
      </w:r>
    </w:p>
    <w:p w:rsidR="00561C8E" w:rsidRPr="00EE79F5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 xml:space="preserve">Разработаны 3 стандарта по </w:t>
      </w:r>
      <w:proofErr w:type="gramStart"/>
      <w:r w:rsidRPr="00EE79F5">
        <w:rPr>
          <w:rFonts w:ascii="Times New Roman" w:hAnsi="Times New Roman" w:cs="Times New Roman"/>
          <w:sz w:val="28"/>
        </w:rPr>
        <w:t>СВ</w:t>
      </w:r>
      <w:proofErr w:type="gramEnd"/>
      <w:r w:rsidRPr="00EE79F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E79F5">
        <w:rPr>
          <w:rFonts w:ascii="Times New Roman" w:hAnsi="Times New Roman" w:cs="Times New Roman"/>
          <w:sz w:val="28"/>
        </w:rPr>
        <w:t>аутрич</w:t>
      </w:r>
      <w:proofErr w:type="spellEnd"/>
      <w:r w:rsidRPr="00EE79F5">
        <w:rPr>
          <w:rFonts w:ascii="Times New Roman" w:hAnsi="Times New Roman" w:cs="Times New Roman"/>
          <w:sz w:val="28"/>
        </w:rPr>
        <w:t xml:space="preserve"> работников и социальных работников, </w:t>
      </w:r>
    </w:p>
    <w:p w:rsidR="007F53F7" w:rsidRPr="00EE79F5" w:rsidRDefault="00561C8E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>П</w:t>
      </w:r>
      <w:r w:rsidR="00E81E7A" w:rsidRPr="00EE79F5">
        <w:rPr>
          <w:rFonts w:ascii="Times New Roman" w:hAnsi="Times New Roman" w:cs="Times New Roman"/>
          <w:sz w:val="28"/>
        </w:rPr>
        <w:t xml:space="preserve">роведены 2 </w:t>
      </w:r>
      <w:r w:rsidRPr="00EE79F5">
        <w:rPr>
          <w:rFonts w:ascii="Times New Roman" w:hAnsi="Times New Roman" w:cs="Times New Roman"/>
          <w:sz w:val="28"/>
        </w:rPr>
        <w:t>к</w:t>
      </w:r>
      <w:r w:rsidR="00E81E7A" w:rsidRPr="00EE79F5">
        <w:rPr>
          <w:rFonts w:ascii="Times New Roman" w:hAnsi="Times New Roman" w:cs="Times New Roman"/>
          <w:sz w:val="28"/>
        </w:rPr>
        <w:t>руглых стола с участием национальных партнеров и донорского сообщества, направленных на усиление взаимодействия по вопросам сохр</w:t>
      </w:r>
      <w:r w:rsidR="00E81E7A">
        <w:rPr>
          <w:rFonts w:ascii="Times New Roman" w:hAnsi="Times New Roman" w:cs="Times New Roman"/>
          <w:sz w:val="28"/>
        </w:rPr>
        <w:t>анения здоровья ПИН, осужденных,</w:t>
      </w:r>
      <w:r w:rsidR="00E81E7A" w:rsidRPr="00EE79F5">
        <w:rPr>
          <w:rFonts w:ascii="Times New Roman" w:hAnsi="Times New Roman" w:cs="Times New Roman"/>
          <w:sz w:val="28"/>
        </w:rPr>
        <w:t xml:space="preserve"> </w:t>
      </w:r>
    </w:p>
    <w:p w:rsidR="007F53F7" w:rsidRPr="00EE79F5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>Всего подано 9 заявок, из которых 4 успешны</w:t>
      </w:r>
      <w:r w:rsidR="00194601">
        <w:rPr>
          <w:rFonts w:ascii="Times New Roman" w:hAnsi="Times New Roman" w:cs="Times New Roman"/>
          <w:sz w:val="28"/>
        </w:rPr>
        <w:t>х</w:t>
      </w:r>
      <w:r w:rsidRPr="00EE79F5">
        <w:rPr>
          <w:rFonts w:ascii="Times New Roman" w:hAnsi="Times New Roman" w:cs="Times New Roman"/>
          <w:sz w:val="28"/>
        </w:rPr>
        <w:t xml:space="preserve"> и </w:t>
      </w:r>
      <w:r w:rsidR="00F11258">
        <w:rPr>
          <w:rFonts w:ascii="Times New Roman" w:hAnsi="Times New Roman" w:cs="Times New Roman"/>
          <w:sz w:val="28"/>
        </w:rPr>
        <w:t>2</w:t>
      </w:r>
      <w:r w:rsidRPr="00EE79F5">
        <w:rPr>
          <w:rFonts w:ascii="Times New Roman" w:hAnsi="Times New Roman" w:cs="Times New Roman"/>
          <w:sz w:val="28"/>
        </w:rPr>
        <w:t xml:space="preserve"> на рассмотрении</w:t>
      </w:r>
      <w:r w:rsidR="00194601">
        <w:rPr>
          <w:rFonts w:ascii="Times New Roman" w:hAnsi="Times New Roman" w:cs="Times New Roman"/>
          <w:sz w:val="28"/>
        </w:rPr>
        <w:t>,</w:t>
      </w:r>
    </w:p>
    <w:p w:rsidR="007F53F7" w:rsidRPr="00EE79F5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lastRenderedPageBreak/>
        <w:t>Открыт и функционирует исследовательский отдел,  как дополнительный ист</w:t>
      </w:r>
      <w:r>
        <w:rPr>
          <w:rFonts w:ascii="Times New Roman" w:hAnsi="Times New Roman" w:cs="Times New Roman"/>
          <w:sz w:val="28"/>
        </w:rPr>
        <w:t>очник финансирования Фонда (2%),</w:t>
      </w:r>
      <w:r w:rsidRPr="00EE79F5">
        <w:rPr>
          <w:rFonts w:ascii="Times New Roman" w:hAnsi="Times New Roman" w:cs="Times New Roman"/>
          <w:sz w:val="28"/>
        </w:rPr>
        <w:t xml:space="preserve"> </w:t>
      </w:r>
    </w:p>
    <w:p w:rsidR="007F53F7" w:rsidRPr="00EE79F5" w:rsidRDefault="00E81E7A" w:rsidP="00606C52">
      <w:pPr>
        <w:numPr>
          <w:ilvl w:val="0"/>
          <w:numId w:val="7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>Приобретено офисное помещение в собственность Фонда</w:t>
      </w:r>
      <w:r>
        <w:rPr>
          <w:rFonts w:ascii="Times New Roman" w:hAnsi="Times New Roman" w:cs="Times New Roman"/>
          <w:sz w:val="28"/>
        </w:rPr>
        <w:t>.</w:t>
      </w:r>
    </w:p>
    <w:p w:rsidR="00606C52" w:rsidRPr="00EE79F5" w:rsidRDefault="00606C52" w:rsidP="00606C52">
      <w:pPr>
        <w:tabs>
          <w:tab w:val="left" w:pos="14317"/>
        </w:tabs>
        <w:jc w:val="both"/>
        <w:rPr>
          <w:rFonts w:ascii="Times New Roman" w:hAnsi="Times New Roman" w:cs="Times New Roman"/>
          <w:sz w:val="32"/>
        </w:rPr>
      </w:pPr>
      <w:r w:rsidRPr="00EE79F5">
        <w:rPr>
          <w:rFonts w:ascii="Times New Roman" w:hAnsi="Times New Roman" w:cs="Times New Roman"/>
          <w:sz w:val="32"/>
        </w:rPr>
        <w:t>Не выполнено:</w:t>
      </w:r>
    </w:p>
    <w:p w:rsidR="00C12148" w:rsidRPr="00C12148" w:rsidRDefault="00E81E7A" w:rsidP="00C12148">
      <w:pPr>
        <w:numPr>
          <w:ilvl w:val="0"/>
          <w:numId w:val="8"/>
        </w:numPr>
        <w:tabs>
          <w:tab w:val="left" w:pos="14317"/>
        </w:tabs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EE79F5">
        <w:rPr>
          <w:rFonts w:ascii="Times New Roman" w:hAnsi="Times New Roman" w:cs="Times New Roman"/>
          <w:sz w:val="28"/>
        </w:rPr>
        <w:t>41,4% программных ПИН прошли тестировани</w:t>
      </w:r>
      <w:r w:rsidR="00656A72">
        <w:rPr>
          <w:rFonts w:ascii="Times New Roman" w:hAnsi="Times New Roman" w:cs="Times New Roman"/>
          <w:sz w:val="28"/>
        </w:rPr>
        <w:t>е на ВИЧ и знают свой результат</w:t>
      </w:r>
      <w:r w:rsidRPr="00EE79F5">
        <w:rPr>
          <w:rFonts w:ascii="Times New Roman" w:hAnsi="Times New Roman" w:cs="Times New Roman"/>
          <w:sz w:val="28"/>
        </w:rPr>
        <w:t xml:space="preserve"> </w:t>
      </w:r>
      <w:r w:rsidR="00443A75" w:rsidRPr="00EE79F5">
        <w:rPr>
          <w:rFonts w:ascii="Times New Roman" w:hAnsi="Times New Roman" w:cs="Times New Roman"/>
          <w:sz w:val="28"/>
        </w:rPr>
        <w:t>(</w:t>
      </w:r>
      <w:r w:rsidR="00C12148" w:rsidRPr="00C12148">
        <w:rPr>
          <w:rFonts w:ascii="Times New Roman" w:hAnsi="Times New Roman" w:cs="Times New Roman"/>
          <w:i/>
          <w:sz w:val="28"/>
        </w:rPr>
        <w:t>индикатор учитывал клиентов, прошедших тест методом ИФА.</w:t>
      </w:r>
      <w:proofErr w:type="gramEnd"/>
      <w:r w:rsidR="00C12148" w:rsidRPr="00C12148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C12148" w:rsidRPr="00C12148">
        <w:rPr>
          <w:rFonts w:ascii="Times New Roman" w:hAnsi="Times New Roman" w:cs="Times New Roman"/>
          <w:i/>
          <w:sz w:val="28"/>
        </w:rPr>
        <w:t>Клиенты, прошедшие тест методом экспресс-тестирования по слюне (финансирование ГФ) не брались в расчет во избежание двойного учета клиентов</w:t>
      </w:r>
      <w:r w:rsidR="00C12148">
        <w:rPr>
          <w:rFonts w:ascii="Times New Roman" w:hAnsi="Times New Roman" w:cs="Times New Roman"/>
          <w:i/>
          <w:sz w:val="28"/>
        </w:rPr>
        <w:t>),</w:t>
      </w:r>
      <w:r w:rsidR="00C12148" w:rsidRPr="00C12148">
        <w:rPr>
          <w:rFonts w:ascii="Times New Roman" w:hAnsi="Times New Roman" w:cs="Times New Roman"/>
          <w:i/>
          <w:sz w:val="28"/>
        </w:rPr>
        <w:t xml:space="preserve">     </w:t>
      </w:r>
      <w:proofErr w:type="gramEnd"/>
    </w:p>
    <w:p w:rsidR="007F53F7" w:rsidRPr="00EE79F5" w:rsidRDefault="00732F2C" w:rsidP="00606C52">
      <w:pPr>
        <w:numPr>
          <w:ilvl w:val="0"/>
          <w:numId w:val="8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42% ЛЖВ обследуются на ТБ </w:t>
      </w:r>
      <w:r w:rsidRPr="00EE79F5">
        <w:rPr>
          <w:rFonts w:ascii="Times New Roman" w:hAnsi="Times New Roman" w:cs="Times New Roman"/>
          <w:sz w:val="28"/>
        </w:rPr>
        <w:t>(</w:t>
      </w:r>
      <w:r w:rsidR="00C12148">
        <w:rPr>
          <w:rFonts w:ascii="Times New Roman" w:hAnsi="Times New Roman" w:cs="Times New Roman"/>
          <w:i/>
          <w:sz w:val="28"/>
        </w:rPr>
        <w:t>индикатор</w:t>
      </w:r>
      <w:r w:rsidR="00C12148" w:rsidRPr="00C12148">
        <w:rPr>
          <w:rFonts w:ascii="Times New Roman" w:hAnsi="Times New Roman" w:cs="Times New Roman"/>
          <w:i/>
          <w:sz w:val="28"/>
        </w:rPr>
        <w:t xml:space="preserve"> начал отслеживаться со второго полугодия 2014г</w:t>
      </w:r>
      <w:r w:rsidRPr="00EE79F5">
        <w:rPr>
          <w:rFonts w:ascii="Times New Roman" w:hAnsi="Times New Roman" w:cs="Times New Roman"/>
          <w:sz w:val="28"/>
        </w:rPr>
        <w:t>)</w:t>
      </w:r>
      <w:r w:rsidR="00E81E7A">
        <w:rPr>
          <w:rFonts w:ascii="Times New Roman" w:hAnsi="Times New Roman" w:cs="Times New Roman"/>
          <w:sz w:val="28"/>
        </w:rPr>
        <w:t>,</w:t>
      </w:r>
    </w:p>
    <w:p w:rsidR="007F53F7" w:rsidRPr="00EE79F5" w:rsidRDefault="00E81E7A" w:rsidP="00606C52">
      <w:pPr>
        <w:numPr>
          <w:ilvl w:val="0"/>
          <w:numId w:val="8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>83,5% (381) от целевого показателя зарегистрированы на сайте интернет платформы за 2014 год</w:t>
      </w:r>
      <w:r>
        <w:rPr>
          <w:rFonts w:ascii="Times New Roman" w:hAnsi="Times New Roman" w:cs="Times New Roman"/>
          <w:sz w:val="28"/>
        </w:rPr>
        <w:t>,</w:t>
      </w:r>
    </w:p>
    <w:p w:rsidR="00606C52" w:rsidRDefault="00E81E7A" w:rsidP="0063349E">
      <w:pPr>
        <w:numPr>
          <w:ilvl w:val="0"/>
          <w:numId w:val="8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EE79F5">
        <w:rPr>
          <w:rFonts w:ascii="Times New Roman" w:hAnsi="Times New Roman" w:cs="Times New Roman"/>
          <w:sz w:val="28"/>
        </w:rPr>
        <w:t xml:space="preserve">87,3% от целевого показателя выполнено посещений пользователей сайта.  </w:t>
      </w:r>
    </w:p>
    <w:p w:rsidR="00A47A6D" w:rsidRPr="00A47A6D" w:rsidRDefault="00A47A6D" w:rsidP="00A47A6D">
      <w:pPr>
        <w:tabs>
          <w:tab w:val="left" w:pos="14317"/>
        </w:tabs>
        <w:rPr>
          <w:rFonts w:ascii="Times New Roman" w:hAnsi="Times New Roman" w:cs="Times New Roman"/>
          <w:sz w:val="32"/>
        </w:rPr>
      </w:pPr>
      <w:r w:rsidRPr="002B667B">
        <w:rPr>
          <w:rFonts w:ascii="Times New Roman" w:hAnsi="Times New Roman" w:cs="Times New Roman"/>
          <w:b/>
          <w:sz w:val="32"/>
        </w:rPr>
        <w:t>Рекомендации</w:t>
      </w:r>
      <w:r w:rsidRPr="00A47A6D">
        <w:rPr>
          <w:rFonts w:ascii="Times New Roman" w:hAnsi="Times New Roman" w:cs="Times New Roman"/>
          <w:sz w:val="32"/>
        </w:rPr>
        <w:t>:</w:t>
      </w:r>
    </w:p>
    <w:p w:rsidR="00F24D95" w:rsidRDefault="00F24D95" w:rsidP="00F24D9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 w:rsidRPr="00F24D95">
        <w:rPr>
          <w:rFonts w:ascii="Times New Roman" w:hAnsi="Times New Roman" w:cs="Times New Roman"/>
          <w:sz w:val="28"/>
        </w:rPr>
        <w:t xml:space="preserve">Усилить контроль менеджерами по выполнению </w:t>
      </w:r>
      <w:proofErr w:type="spellStart"/>
      <w:r w:rsidRPr="00F24D95">
        <w:rPr>
          <w:rFonts w:ascii="Times New Roman" w:hAnsi="Times New Roman" w:cs="Times New Roman"/>
          <w:sz w:val="28"/>
        </w:rPr>
        <w:t>субгрантерами</w:t>
      </w:r>
      <w:proofErr w:type="spellEnd"/>
      <w:r w:rsidRPr="00F24D95">
        <w:rPr>
          <w:rFonts w:ascii="Times New Roman" w:hAnsi="Times New Roman" w:cs="Times New Roman"/>
          <w:sz w:val="28"/>
        </w:rPr>
        <w:t xml:space="preserve"> индикаторов тестирования на ВИЧ  и ТБ уязвимых групп</w:t>
      </w:r>
      <w:r>
        <w:rPr>
          <w:rFonts w:ascii="Times New Roman" w:hAnsi="Times New Roman" w:cs="Times New Roman"/>
          <w:sz w:val="28"/>
        </w:rPr>
        <w:t>.</w:t>
      </w:r>
    </w:p>
    <w:p w:rsidR="00A47A6D" w:rsidRDefault="000B0EEA" w:rsidP="000B0EEA">
      <w:pPr>
        <w:pStyle w:val="a3"/>
        <w:numPr>
          <w:ilvl w:val="0"/>
          <w:numId w:val="10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 w:rsidRPr="000B0EEA">
        <w:rPr>
          <w:rFonts w:ascii="Times New Roman" w:hAnsi="Times New Roman" w:cs="Times New Roman"/>
          <w:sz w:val="28"/>
        </w:rPr>
        <w:t xml:space="preserve">Пересмотреть и оптимизировать </w:t>
      </w:r>
      <w:r w:rsidR="004A3399">
        <w:rPr>
          <w:rFonts w:ascii="Times New Roman" w:hAnsi="Times New Roman" w:cs="Times New Roman"/>
          <w:sz w:val="28"/>
        </w:rPr>
        <w:t>учетные формы и БД для наилучшего достижения показателей</w:t>
      </w:r>
      <w:r w:rsidR="00E52C9D">
        <w:rPr>
          <w:rFonts w:ascii="Times New Roman" w:hAnsi="Times New Roman" w:cs="Times New Roman"/>
          <w:sz w:val="28"/>
        </w:rPr>
        <w:t xml:space="preserve">, внедрить опцию  </w:t>
      </w:r>
      <w:r w:rsidR="00DC689E">
        <w:rPr>
          <w:rFonts w:ascii="Times New Roman" w:hAnsi="Times New Roman" w:cs="Times New Roman"/>
          <w:sz w:val="28"/>
        </w:rPr>
        <w:t>«</w:t>
      </w:r>
      <w:r w:rsidR="00E52C9D">
        <w:rPr>
          <w:rFonts w:ascii="Times New Roman" w:hAnsi="Times New Roman" w:cs="Times New Roman"/>
          <w:sz w:val="28"/>
        </w:rPr>
        <w:t>скрининг на ТБ</w:t>
      </w:r>
      <w:r w:rsidR="00DC689E">
        <w:rPr>
          <w:rFonts w:ascii="Times New Roman" w:hAnsi="Times New Roman" w:cs="Times New Roman"/>
          <w:sz w:val="28"/>
        </w:rPr>
        <w:t>»</w:t>
      </w:r>
      <w:r w:rsidR="00E52C9D">
        <w:rPr>
          <w:rFonts w:ascii="Times New Roman" w:hAnsi="Times New Roman" w:cs="Times New Roman"/>
          <w:sz w:val="28"/>
        </w:rPr>
        <w:t>, для измерения на рутинной основе</w:t>
      </w:r>
      <w:r w:rsidR="004A3399">
        <w:rPr>
          <w:rFonts w:ascii="Times New Roman" w:hAnsi="Times New Roman" w:cs="Times New Roman"/>
          <w:sz w:val="28"/>
        </w:rPr>
        <w:t>.</w:t>
      </w:r>
    </w:p>
    <w:p w:rsidR="004A3399" w:rsidRDefault="00DE1609" w:rsidP="000B0EEA">
      <w:pPr>
        <w:pStyle w:val="a3"/>
        <w:numPr>
          <w:ilvl w:val="0"/>
          <w:numId w:val="10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Рассмотреть вопрос об изменении критериев социального сопровождения. Включить ЛЖВ как категорию лиц для обязательного </w:t>
      </w:r>
      <w:r w:rsidR="00742CE0">
        <w:rPr>
          <w:rFonts w:ascii="Times New Roman" w:hAnsi="Times New Roman" w:cs="Times New Roman"/>
          <w:sz w:val="28"/>
        </w:rPr>
        <w:t>сопровождения</w:t>
      </w:r>
      <w:r>
        <w:rPr>
          <w:rFonts w:ascii="Times New Roman" w:hAnsi="Times New Roman" w:cs="Times New Roman"/>
          <w:sz w:val="28"/>
        </w:rPr>
        <w:t xml:space="preserve"> в течени</w:t>
      </w:r>
      <w:r w:rsidR="00E52C9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6 месяцев</w:t>
      </w:r>
      <w:r w:rsidR="001D492E">
        <w:rPr>
          <w:rFonts w:ascii="Times New Roman" w:hAnsi="Times New Roman" w:cs="Times New Roman"/>
          <w:sz w:val="28"/>
        </w:rPr>
        <w:t xml:space="preserve"> для наблюдения за приверженностью к АРВ терапии</w:t>
      </w:r>
      <w:r>
        <w:rPr>
          <w:rFonts w:ascii="Times New Roman" w:hAnsi="Times New Roman" w:cs="Times New Roman"/>
          <w:sz w:val="28"/>
        </w:rPr>
        <w:t>.</w:t>
      </w:r>
    </w:p>
    <w:p w:rsidR="00E52C9D" w:rsidRDefault="00DC689E" w:rsidP="000B0EEA">
      <w:pPr>
        <w:pStyle w:val="a3"/>
        <w:numPr>
          <w:ilvl w:val="0"/>
          <w:numId w:val="10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Внедрить опросник для клиентов в ка</w:t>
      </w:r>
      <w:r w:rsidR="00823260">
        <w:rPr>
          <w:rFonts w:ascii="Times New Roman" w:hAnsi="Times New Roman" w:cs="Times New Roman"/>
          <w:sz w:val="28"/>
        </w:rPr>
        <w:t xml:space="preserve">честве структурированного инструмента консультирования и источника информации по мониторингу уровня знаний до и после консультаций.   </w:t>
      </w:r>
      <w:r>
        <w:rPr>
          <w:rFonts w:ascii="Times New Roman" w:hAnsi="Times New Roman" w:cs="Times New Roman"/>
          <w:sz w:val="28"/>
        </w:rPr>
        <w:t xml:space="preserve"> </w:t>
      </w:r>
    </w:p>
    <w:p w:rsidR="007E3BA5" w:rsidRDefault="009A321B" w:rsidP="000B0EEA">
      <w:pPr>
        <w:pStyle w:val="a3"/>
        <w:numPr>
          <w:ilvl w:val="0"/>
          <w:numId w:val="10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Пересмотреть индикаторные показатели </w:t>
      </w:r>
      <w:proofErr w:type="spellStart"/>
      <w:r>
        <w:rPr>
          <w:rFonts w:ascii="Times New Roman" w:hAnsi="Times New Roman" w:cs="Times New Roman"/>
          <w:sz w:val="28"/>
        </w:rPr>
        <w:t>субгрантеров</w:t>
      </w:r>
      <w:proofErr w:type="spellEnd"/>
      <w:r>
        <w:rPr>
          <w:rFonts w:ascii="Times New Roman" w:hAnsi="Times New Roman" w:cs="Times New Roman"/>
          <w:sz w:val="28"/>
        </w:rPr>
        <w:t xml:space="preserve"> с </w:t>
      </w:r>
      <w:r w:rsidR="000E216D">
        <w:rPr>
          <w:rFonts w:ascii="Times New Roman" w:hAnsi="Times New Roman" w:cs="Times New Roman"/>
          <w:sz w:val="28"/>
        </w:rPr>
        <w:t>фокусом</w:t>
      </w:r>
      <w:r>
        <w:rPr>
          <w:rFonts w:ascii="Times New Roman" w:hAnsi="Times New Roman" w:cs="Times New Roman"/>
          <w:sz w:val="28"/>
        </w:rPr>
        <w:t xml:space="preserve"> на индикаторы</w:t>
      </w:r>
      <w:r w:rsidR="000E216D">
        <w:rPr>
          <w:rFonts w:ascii="Times New Roman" w:hAnsi="Times New Roman" w:cs="Times New Roman"/>
          <w:sz w:val="28"/>
        </w:rPr>
        <w:t xml:space="preserve"> влияния (</w:t>
      </w:r>
      <w:r w:rsidR="000E216D">
        <w:rPr>
          <w:rFonts w:ascii="Times New Roman" w:hAnsi="Times New Roman" w:cs="Times New Roman"/>
          <w:sz w:val="28"/>
          <w:lang w:val="en-US"/>
        </w:rPr>
        <w:t>outcome</w:t>
      </w:r>
      <w:r w:rsidR="000E216D">
        <w:rPr>
          <w:rFonts w:ascii="Times New Roman" w:hAnsi="Times New Roman" w:cs="Times New Roman"/>
          <w:sz w:val="28"/>
        </w:rPr>
        <w:t>)</w:t>
      </w:r>
      <w:r w:rsidR="00834BA3">
        <w:rPr>
          <w:rFonts w:ascii="Times New Roman" w:hAnsi="Times New Roman" w:cs="Times New Roman"/>
          <w:sz w:val="28"/>
        </w:rPr>
        <w:t xml:space="preserve">, унифицировать для всех </w:t>
      </w:r>
      <w:proofErr w:type="spellStart"/>
      <w:r w:rsidR="00834BA3">
        <w:rPr>
          <w:rFonts w:ascii="Times New Roman" w:hAnsi="Times New Roman" w:cs="Times New Roman"/>
          <w:sz w:val="28"/>
        </w:rPr>
        <w:t>субгрантов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216D" w:rsidRPr="000B0EEA" w:rsidRDefault="00742CE0" w:rsidP="000B0EEA">
      <w:pPr>
        <w:pStyle w:val="a3"/>
        <w:numPr>
          <w:ilvl w:val="0"/>
          <w:numId w:val="10"/>
        </w:numPr>
        <w:tabs>
          <w:tab w:val="left" w:pos="14317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Активизировать</w:t>
      </w:r>
      <w:r w:rsidR="00C2111A">
        <w:rPr>
          <w:rFonts w:ascii="Times New Roman" w:hAnsi="Times New Roman" w:cs="Times New Roman"/>
          <w:sz w:val="28"/>
        </w:rPr>
        <w:t xml:space="preserve"> стратегию по привлечению </w:t>
      </w:r>
      <w:r w:rsidR="009E768C">
        <w:rPr>
          <w:rFonts w:ascii="Times New Roman" w:hAnsi="Times New Roman" w:cs="Times New Roman"/>
          <w:sz w:val="28"/>
        </w:rPr>
        <w:t>пользователей (постоянных и новых) сайта интернет платформы.</w:t>
      </w:r>
    </w:p>
    <w:sectPr w:rsidR="000E216D" w:rsidRPr="000B0EEA" w:rsidSect="00954229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375"/>
    <w:multiLevelType w:val="hybridMultilevel"/>
    <w:tmpl w:val="59E652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843CE"/>
    <w:multiLevelType w:val="hybridMultilevel"/>
    <w:tmpl w:val="F77851CC"/>
    <w:lvl w:ilvl="0" w:tplc="96B4E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2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6AB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62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C1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EA5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A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85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A9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C40349"/>
    <w:multiLevelType w:val="hybridMultilevel"/>
    <w:tmpl w:val="57F60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4696F"/>
    <w:multiLevelType w:val="hybridMultilevel"/>
    <w:tmpl w:val="06FC5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A4AC8"/>
    <w:multiLevelType w:val="hybridMultilevel"/>
    <w:tmpl w:val="463E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66682"/>
    <w:multiLevelType w:val="hybridMultilevel"/>
    <w:tmpl w:val="C1CAE0E2"/>
    <w:lvl w:ilvl="0" w:tplc="F998C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8D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05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E6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27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01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04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27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EE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2AB5D2D"/>
    <w:multiLevelType w:val="hybridMultilevel"/>
    <w:tmpl w:val="8F729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C105F"/>
    <w:multiLevelType w:val="hybridMultilevel"/>
    <w:tmpl w:val="82CEA0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A80F8C"/>
    <w:multiLevelType w:val="hybridMultilevel"/>
    <w:tmpl w:val="47D409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B0523"/>
    <w:multiLevelType w:val="hybridMultilevel"/>
    <w:tmpl w:val="68E4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0D"/>
    <w:rsid w:val="00001867"/>
    <w:rsid w:val="00043F9D"/>
    <w:rsid w:val="000477EB"/>
    <w:rsid w:val="000845AA"/>
    <w:rsid w:val="000938FA"/>
    <w:rsid w:val="000B0EEA"/>
    <w:rsid w:val="000E216D"/>
    <w:rsid w:val="0010374E"/>
    <w:rsid w:val="00142044"/>
    <w:rsid w:val="00151926"/>
    <w:rsid w:val="001803B4"/>
    <w:rsid w:val="00194601"/>
    <w:rsid w:val="001A1254"/>
    <w:rsid w:val="001A2B3E"/>
    <w:rsid w:val="001B5AF2"/>
    <w:rsid w:val="001C3290"/>
    <w:rsid w:val="001D492E"/>
    <w:rsid w:val="001E27DE"/>
    <w:rsid w:val="00253345"/>
    <w:rsid w:val="002713B5"/>
    <w:rsid w:val="00272ABF"/>
    <w:rsid w:val="00285EDE"/>
    <w:rsid w:val="002A477D"/>
    <w:rsid w:val="002B667B"/>
    <w:rsid w:val="002C29D6"/>
    <w:rsid w:val="002D22A2"/>
    <w:rsid w:val="002E1A7A"/>
    <w:rsid w:val="002E3053"/>
    <w:rsid w:val="00354078"/>
    <w:rsid w:val="00364375"/>
    <w:rsid w:val="003751B7"/>
    <w:rsid w:val="0037521D"/>
    <w:rsid w:val="00380324"/>
    <w:rsid w:val="00381150"/>
    <w:rsid w:val="003B266E"/>
    <w:rsid w:val="003B4A1F"/>
    <w:rsid w:val="00400F96"/>
    <w:rsid w:val="004162E8"/>
    <w:rsid w:val="00425707"/>
    <w:rsid w:val="00434E83"/>
    <w:rsid w:val="0043722A"/>
    <w:rsid w:val="00442CD3"/>
    <w:rsid w:val="00443A75"/>
    <w:rsid w:val="00452CF3"/>
    <w:rsid w:val="00463782"/>
    <w:rsid w:val="0047020E"/>
    <w:rsid w:val="004958C0"/>
    <w:rsid w:val="004A3399"/>
    <w:rsid w:val="004B0EC5"/>
    <w:rsid w:val="004C2F01"/>
    <w:rsid w:val="004C46CA"/>
    <w:rsid w:val="004E27BA"/>
    <w:rsid w:val="004E5602"/>
    <w:rsid w:val="00534F56"/>
    <w:rsid w:val="00536135"/>
    <w:rsid w:val="00542A93"/>
    <w:rsid w:val="00550FA2"/>
    <w:rsid w:val="00561C8E"/>
    <w:rsid w:val="00564460"/>
    <w:rsid w:val="00575132"/>
    <w:rsid w:val="00575A2E"/>
    <w:rsid w:val="005A5426"/>
    <w:rsid w:val="005D6743"/>
    <w:rsid w:val="005D6BFA"/>
    <w:rsid w:val="00605AC0"/>
    <w:rsid w:val="00606C52"/>
    <w:rsid w:val="00615BD4"/>
    <w:rsid w:val="00627513"/>
    <w:rsid w:val="0063349E"/>
    <w:rsid w:val="00637F12"/>
    <w:rsid w:val="0065114B"/>
    <w:rsid w:val="00656A72"/>
    <w:rsid w:val="00682B36"/>
    <w:rsid w:val="006956D8"/>
    <w:rsid w:val="006C1FA8"/>
    <w:rsid w:val="006C2C38"/>
    <w:rsid w:val="006D58EF"/>
    <w:rsid w:val="006F2F2D"/>
    <w:rsid w:val="00727A46"/>
    <w:rsid w:val="00732F2C"/>
    <w:rsid w:val="00742CE0"/>
    <w:rsid w:val="00746CBC"/>
    <w:rsid w:val="0075056E"/>
    <w:rsid w:val="00751413"/>
    <w:rsid w:val="007661E1"/>
    <w:rsid w:val="007742F2"/>
    <w:rsid w:val="00787725"/>
    <w:rsid w:val="007A682F"/>
    <w:rsid w:val="007B1BB7"/>
    <w:rsid w:val="007E2906"/>
    <w:rsid w:val="007E3BA5"/>
    <w:rsid w:val="007F53F7"/>
    <w:rsid w:val="00823260"/>
    <w:rsid w:val="00830E55"/>
    <w:rsid w:val="00834BA3"/>
    <w:rsid w:val="00835B84"/>
    <w:rsid w:val="00840BB1"/>
    <w:rsid w:val="008414CA"/>
    <w:rsid w:val="00850C92"/>
    <w:rsid w:val="00861EFD"/>
    <w:rsid w:val="008733E9"/>
    <w:rsid w:val="00890E21"/>
    <w:rsid w:val="008916D2"/>
    <w:rsid w:val="008A0B83"/>
    <w:rsid w:val="008F0D5F"/>
    <w:rsid w:val="0090631F"/>
    <w:rsid w:val="00923B67"/>
    <w:rsid w:val="009312EF"/>
    <w:rsid w:val="00945360"/>
    <w:rsid w:val="00953E81"/>
    <w:rsid w:val="00954229"/>
    <w:rsid w:val="00960557"/>
    <w:rsid w:val="00962980"/>
    <w:rsid w:val="00964FFE"/>
    <w:rsid w:val="00991314"/>
    <w:rsid w:val="0099317F"/>
    <w:rsid w:val="009A321B"/>
    <w:rsid w:val="009B27BF"/>
    <w:rsid w:val="009B6A23"/>
    <w:rsid w:val="009C771C"/>
    <w:rsid w:val="009E457F"/>
    <w:rsid w:val="009E752A"/>
    <w:rsid w:val="009E768C"/>
    <w:rsid w:val="00A2106B"/>
    <w:rsid w:val="00A34C20"/>
    <w:rsid w:val="00A42A7A"/>
    <w:rsid w:val="00A47A6D"/>
    <w:rsid w:val="00A55E9A"/>
    <w:rsid w:val="00A67066"/>
    <w:rsid w:val="00AA0AD9"/>
    <w:rsid w:val="00AA590C"/>
    <w:rsid w:val="00AB3126"/>
    <w:rsid w:val="00AC32AA"/>
    <w:rsid w:val="00AE2421"/>
    <w:rsid w:val="00B13213"/>
    <w:rsid w:val="00B17767"/>
    <w:rsid w:val="00B234BE"/>
    <w:rsid w:val="00B37B08"/>
    <w:rsid w:val="00B4586D"/>
    <w:rsid w:val="00B46B20"/>
    <w:rsid w:val="00B7246C"/>
    <w:rsid w:val="00B833A7"/>
    <w:rsid w:val="00B855B8"/>
    <w:rsid w:val="00B972CF"/>
    <w:rsid w:val="00BD413B"/>
    <w:rsid w:val="00BE0873"/>
    <w:rsid w:val="00BF0912"/>
    <w:rsid w:val="00C00689"/>
    <w:rsid w:val="00C11B73"/>
    <w:rsid w:val="00C12148"/>
    <w:rsid w:val="00C2111A"/>
    <w:rsid w:val="00C32470"/>
    <w:rsid w:val="00C340F9"/>
    <w:rsid w:val="00C36744"/>
    <w:rsid w:val="00C5594D"/>
    <w:rsid w:val="00C71A08"/>
    <w:rsid w:val="00C80469"/>
    <w:rsid w:val="00CA10C1"/>
    <w:rsid w:val="00CB41EC"/>
    <w:rsid w:val="00CC07DC"/>
    <w:rsid w:val="00CD4808"/>
    <w:rsid w:val="00CE14CF"/>
    <w:rsid w:val="00CE684E"/>
    <w:rsid w:val="00CF554F"/>
    <w:rsid w:val="00CF7320"/>
    <w:rsid w:val="00D5005D"/>
    <w:rsid w:val="00D856C6"/>
    <w:rsid w:val="00D912E9"/>
    <w:rsid w:val="00D96FB8"/>
    <w:rsid w:val="00DA2449"/>
    <w:rsid w:val="00DC4FA3"/>
    <w:rsid w:val="00DC689E"/>
    <w:rsid w:val="00DD291D"/>
    <w:rsid w:val="00DE1609"/>
    <w:rsid w:val="00DE174C"/>
    <w:rsid w:val="00DF4B7A"/>
    <w:rsid w:val="00E16C6E"/>
    <w:rsid w:val="00E20DCA"/>
    <w:rsid w:val="00E27955"/>
    <w:rsid w:val="00E426CD"/>
    <w:rsid w:val="00E52C9D"/>
    <w:rsid w:val="00E60055"/>
    <w:rsid w:val="00E81E7A"/>
    <w:rsid w:val="00E92CBF"/>
    <w:rsid w:val="00EA450D"/>
    <w:rsid w:val="00EA5D6B"/>
    <w:rsid w:val="00EB5D9B"/>
    <w:rsid w:val="00EE79F5"/>
    <w:rsid w:val="00F11258"/>
    <w:rsid w:val="00F176FD"/>
    <w:rsid w:val="00F24673"/>
    <w:rsid w:val="00F24D95"/>
    <w:rsid w:val="00F5346D"/>
    <w:rsid w:val="00F83121"/>
    <w:rsid w:val="00FC08F2"/>
    <w:rsid w:val="00FD1E61"/>
    <w:rsid w:val="00FE4F34"/>
    <w:rsid w:val="00FE5668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8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80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D4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239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1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1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6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9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9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0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45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3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71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0528A-98F3-400D-9027-C93C6475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11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dcterms:created xsi:type="dcterms:W3CDTF">2014-11-10T04:55:00Z</dcterms:created>
  <dcterms:modified xsi:type="dcterms:W3CDTF">2015-02-05T08:45:00Z</dcterms:modified>
</cp:coreProperties>
</file>